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41160" w14:textId="77777777" w:rsidR="00221BA9" w:rsidRPr="00CE50D8" w:rsidRDefault="001A0A0E">
      <w:pPr>
        <w:widowControl/>
        <w:pBdr>
          <w:top w:val="nil"/>
          <w:left w:val="nil"/>
          <w:bottom w:val="nil"/>
          <w:right w:val="nil"/>
          <w:between w:val="nil"/>
        </w:pBdr>
        <w:spacing w:after="240" w:line="480" w:lineRule="auto"/>
        <w:jc w:val="center"/>
        <w:rPr>
          <w:rFonts w:ascii="Times New Roman" w:eastAsia="Times New Roman" w:hAnsi="Times New Roman" w:cs="Times New Roman"/>
          <w:b/>
          <w:sz w:val="32"/>
          <w:szCs w:val="32"/>
        </w:rPr>
      </w:pPr>
      <w:r w:rsidRPr="00CE50D8">
        <w:rPr>
          <w:rFonts w:ascii="Times New Roman" w:eastAsia="Times New Roman" w:hAnsi="Times New Roman" w:cs="Times New Roman"/>
          <w:b/>
          <w:sz w:val="32"/>
          <w:szCs w:val="32"/>
        </w:rPr>
        <w:t>Combined structure and ligand-based design of selective acetylcholinesterase inhibitors</w:t>
      </w:r>
    </w:p>
    <w:p w14:paraId="35AB76D4" w14:textId="77777777" w:rsidR="00221BA9" w:rsidRPr="00CE50D8" w:rsidRDefault="001A0A0E">
      <w:pPr>
        <w:widowControl/>
        <w:pBdr>
          <w:top w:val="nil"/>
          <w:left w:val="nil"/>
          <w:bottom w:val="nil"/>
          <w:right w:val="nil"/>
          <w:between w:val="nil"/>
        </w:pBdr>
        <w:spacing w:after="120" w:line="480" w:lineRule="auto"/>
        <w:jc w:val="both"/>
        <w:rPr>
          <w:rFonts w:ascii="Times New Roman" w:eastAsia="Times New Roman" w:hAnsi="Times New Roman" w:cs="Times New Roman"/>
          <w:b/>
        </w:rPr>
      </w:pPr>
      <w:r w:rsidRPr="00CE50D8">
        <w:rPr>
          <w:rFonts w:ascii="Times New Roman" w:eastAsia="Times New Roman" w:hAnsi="Times New Roman" w:cs="Times New Roman"/>
          <w:b/>
        </w:rPr>
        <w:t>Horacio Pérez-Sánchez</w:t>
      </w:r>
      <w:r w:rsidRPr="00CE50D8">
        <w:rPr>
          <w:rFonts w:ascii="Times New Roman" w:eastAsia="Times New Roman" w:hAnsi="Times New Roman" w:cs="Times New Roman"/>
          <w:b/>
          <w:vertAlign w:val="superscript"/>
        </w:rPr>
        <w:t xml:space="preserve">1,* </w:t>
      </w:r>
      <w:r w:rsidRPr="00CE50D8">
        <w:rPr>
          <w:rFonts w:ascii="Times New Roman" w:eastAsia="Times New Roman" w:hAnsi="Times New Roman" w:cs="Times New Roman"/>
          <w:b/>
        </w:rPr>
        <w:t>Helena den-Haan</w:t>
      </w:r>
      <w:r w:rsidRPr="00CE50D8">
        <w:rPr>
          <w:rFonts w:ascii="Times New Roman" w:eastAsia="Times New Roman" w:hAnsi="Times New Roman" w:cs="Times New Roman"/>
          <w:b/>
          <w:vertAlign w:val="superscript"/>
        </w:rPr>
        <w:t>1,2</w:t>
      </w:r>
      <w:r w:rsidRPr="00CE50D8">
        <w:rPr>
          <w:rFonts w:ascii="Times New Roman" w:eastAsia="Times New Roman" w:hAnsi="Times New Roman" w:cs="Times New Roman"/>
          <w:b/>
        </w:rPr>
        <w:t xml:space="preserve"> , Alfonso Pérez-Garrido</w:t>
      </w:r>
      <w:r w:rsidRPr="00CE50D8">
        <w:rPr>
          <w:rFonts w:ascii="Times New Roman" w:eastAsia="Times New Roman" w:hAnsi="Times New Roman" w:cs="Times New Roman"/>
          <w:b/>
          <w:vertAlign w:val="superscript"/>
        </w:rPr>
        <w:t>1</w:t>
      </w:r>
      <w:r w:rsidRPr="00CE50D8">
        <w:rPr>
          <w:rFonts w:ascii="Times New Roman" w:eastAsia="Times New Roman" w:hAnsi="Times New Roman" w:cs="Times New Roman"/>
          <w:b/>
        </w:rPr>
        <w:t>, Jorge Peña-García</w:t>
      </w:r>
      <w:r w:rsidRPr="00CE50D8">
        <w:rPr>
          <w:rFonts w:ascii="Times New Roman" w:eastAsia="Times New Roman" w:hAnsi="Times New Roman" w:cs="Times New Roman"/>
          <w:b/>
          <w:vertAlign w:val="superscript"/>
        </w:rPr>
        <w:t>1</w:t>
      </w:r>
      <w:r w:rsidRPr="00CE50D8">
        <w:rPr>
          <w:rFonts w:ascii="Times New Roman" w:eastAsia="Times New Roman" w:hAnsi="Times New Roman" w:cs="Times New Roman"/>
          <w:b/>
        </w:rPr>
        <w:t>, Sandipan Chakraborty</w:t>
      </w:r>
      <w:r w:rsidRPr="00CE50D8">
        <w:rPr>
          <w:rFonts w:ascii="Times New Roman" w:eastAsia="Times New Roman" w:hAnsi="Times New Roman" w:cs="Times New Roman"/>
          <w:b/>
          <w:vertAlign w:val="superscript"/>
        </w:rPr>
        <w:t>3</w:t>
      </w:r>
      <w:r w:rsidRPr="00CE50D8">
        <w:rPr>
          <w:rFonts w:ascii="Times New Roman" w:eastAsia="Times New Roman" w:hAnsi="Times New Roman" w:cs="Times New Roman"/>
          <w:b/>
        </w:rPr>
        <w:t>, Ilkay Erdogan Orhan</w:t>
      </w:r>
      <w:r w:rsidRPr="00CE50D8">
        <w:rPr>
          <w:rFonts w:ascii="Times New Roman" w:eastAsia="Times New Roman" w:hAnsi="Times New Roman" w:cs="Times New Roman"/>
          <w:b/>
          <w:vertAlign w:val="superscript"/>
        </w:rPr>
        <w:t>4,*</w:t>
      </w:r>
      <w:r w:rsidRPr="00CE50D8">
        <w:rPr>
          <w:rFonts w:ascii="Times New Roman" w:eastAsia="Times New Roman" w:hAnsi="Times New Roman" w:cs="Times New Roman"/>
          <w:b/>
        </w:rPr>
        <w:t xml:space="preserve"> F. Sezer Senol Deniz,</w:t>
      </w:r>
      <w:r w:rsidRPr="00CE50D8">
        <w:rPr>
          <w:rFonts w:ascii="Times New Roman" w:eastAsia="Times New Roman" w:hAnsi="Times New Roman" w:cs="Times New Roman"/>
          <w:b/>
          <w:vertAlign w:val="superscript"/>
        </w:rPr>
        <w:t xml:space="preserve">4 </w:t>
      </w:r>
      <w:r w:rsidRPr="00CE50D8">
        <w:rPr>
          <w:rFonts w:ascii="Times New Roman" w:eastAsia="Times New Roman" w:hAnsi="Times New Roman" w:cs="Times New Roman"/>
          <w:b/>
        </w:rPr>
        <w:t>and José Manuel Villalgordo</w:t>
      </w:r>
      <w:r w:rsidRPr="00CE50D8">
        <w:rPr>
          <w:rFonts w:ascii="Times New Roman" w:eastAsia="Times New Roman" w:hAnsi="Times New Roman" w:cs="Times New Roman"/>
          <w:b/>
          <w:vertAlign w:val="superscript"/>
        </w:rPr>
        <w:t>2,*</w:t>
      </w:r>
      <w:r w:rsidRPr="00CE50D8">
        <w:rPr>
          <w:rFonts w:ascii="Times New Roman" w:eastAsia="Times New Roman" w:hAnsi="Times New Roman" w:cs="Times New Roman"/>
          <w:b/>
        </w:rPr>
        <w:t xml:space="preserve">  </w:t>
      </w:r>
    </w:p>
    <w:p w14:paraId="0DFA6CAC" w14:textId="77777777" w:rsidR="00221BA9" w:rsidRPr="00CE50D8" w:rsidRDefault="00221BA9">
      <w:pPr>
        <w:spacing w:line="480" w:lineRule="auto"/>
        <w:jc w:val="both"/>
        <w:rPr>
          <w:rFonts w:ascii="Times New Roman" w:eastAsia="Times New Roman" w:hAnsi="Times New Roman" w:cs="Times New Roman"/>
        </w:rPr>
      </w:pPr>
    </w:p>
    <w:p w14:paraId="5B27CB2A" w14:textId="5AE0BC7F" w:rsidR="00221BA9" w:rsidRPr="00CE50D8" w:rsidRDefault="001A0A0E">
      <w:pPr>
        <w:widowControl/>
        <w:pBdr>
          <w:top w:val="nil"/>
          <w:left w:val="nil"/>
          <w:bottom w:val="nil"/>
          <w:right w:val="nil"/>
          <w:between w:val="nil"/>
        </w:pBdr>
        <w:spacing w:line="480" w:lineRule="auto"/>
        <w:ind w:left="311" w:hanging="198"/>
        <w:jc w:val="both"/>
        <w:rPr>
          <w:rFonts w:ascii="Times New Roman" w:eastAsia="Times New Roman" w:hAnsi="Times New Roman" w:cs="Times New Roman"/>
        </w:rPr>
      </w:pPr>
      <w:r w:rsidRPr="00CE50D8">
        <w:rPr>
          <w:rFonts w:ascii="Times New Roman" w:eastAsia="Times New Roman" w:hAnsi="Times New Roman" w:cs="Times New Roman"/>
          <w:vertAlign w:val="superscript"/>
        </w:rPr>
        <w:t>1</w:t>
      </w:r>
      <w:r w:rsidRPr="00CE50D8">
        <w:rPr>
          <w:rFonts w:ascii="Times New Roman" w:eastAsia="Times New Roman" w:hAnsi="Times New Roman" w:cs="Times New Roman"/>
        </w:rPr>
        <w:tab/>
        <w:t>Structural Bioinformatics and High Performance Computing Group (BIO-HPC), Universidad Católica San Antonio de Murcia (UCAM), Campus de los Jerónimos, Guadalupe 30107, Spain.</w:t>
      </w:r>
    </w:p>
    <w:p w14:paraId="20A9EB71" w14:textId="77777777" w:rsidR="00221BA9" w:rsidRPr="00CE50D8" w:rsidRDefault="001A0A0E">
      <w:pPr>
        <w:widowControl/>
        <w:pBdr>
          <w:top w:val="nil"/>
          <w:left w:val="nil"/>
          <w:bottom w:val="nil"/>
          <w:right w:val="nil"/>
          <w:between w:val="nil"/>
        </w:pBdr>
        <w:spacing w:line="480" w:lineRule="auto"/>
        <w:ind w:left="311" w:hanging="198"/>
        <w:jc w:val="both"/>
        <w:rPr>
          <w:rFonts w:ascii="Times New Roman" w:eastAsia="Times New Roman" w:hAnsi="Times New Roman" w:cs="Times New Roman"/>
        </w:rPr>
      </w:pPr>
      <w:r w:rsidRPr="00CE50D8">
        <w:rPr>
          <w:rFonts w:ascii="Times New Roman" w:eastAsia="Times New Roman" w:hAnsi="Times New Roman" w:cs="Times New Roman"/>
          <w:vertAlign w:val="superscript"/>
        </w:rPr>
        <w:t>2</w:t>
      </w:r>
      <w:r w:rsidRPr="00CE50D8">
        <w:rPr>
          <w:rFonts w:ascii="Times New Roman" w:eastAsia="Times New Roman" w:hAnsi="Times New Roman" w:cs="Times New Roman"/>
        </w:rPr>
        <w:tab/>
        <w:t>Villapharma Research, Parque Tecnológico de Fuente Álamo, Ctra. El Estrecho-Lobosillo, Km. 2,5- Av. Azul, 30320, Fuente Álamo de Murcia, Murcia, Spain.</w:t>
      </w:r>
    </w:p>
    <w:p w14:paraId="31BA1815" w14:textId="77777777" w:rsidR="00221BA9" w:rsidRPr="00CE50D8" w:rsidRDefault="001A0A0E">
      <w:pPr>
        <w:widowControl/>
        <w:pBdr>
          <w:top w:val="nil"/>
          <w:left w:val="nil"/>
          <w:bottom w:val="nil"/>
          <w:right w:val="nil"/>
          <w:between w:val="nil"/>
        </w:pBdr>
        <w:spacing w:line="480" w:lineRule="auto"/>
        <w:ind w:left="311" w:hanging="198"/>
        <w:jc w:val="both"/>
        <w:rPr>
          <w:rFonts w:ascii="Times New Roman" w:eastAsia="Times New Roman" w:hAnsi="Times New Roman" w:cs="Times New Roman"/>
        </w:rPr>
      </w:pPr>
      <w:r w:rsidRPr="00CE50D8">
        <w:rPr>
          <w:rFonts w:ascii="Times New Roman" w:eastAsia="Times New Roman" w:hAnsi="Times New Roman" w:cs="Times New Roman"/>
          <w:vertAlign w:val="superscript"/>
        </w:rPr>
        <w:t>3</w:t>
      </w:r>
      <w:r w:rsidRPr="00CE50D8">
        <w:rPr>
          <w:rFonts w:ascii="Times New Roman" w:eastAsia="Times New Roman" w:hAnsi="Times New Roman" w:cs="Times New Roman"/>
        </w:rPr>
        <w:tab/>
        <w:t xml:space="preserve">Amity Institute of Biotechnology, Amity University, Kolkata, 700135, India. </w:t>
      </w:r>
    </w:p>
    <w:p w14:paraId="4B3AA2CA" w14:textId="77777777" w:rsidR="00221BA9" w:rsidRPr="00CE50D8" w:rsidRDefault="001A0A0E">
      <w:pPr>
        <w:widowControl/>
        <w:pBdr>
          <w:top w:val="nil"/>
          <w:left w:val="nil"/>
          <w:bottom w:val="nil"/>
          <w:right w:val="nil"/>
          <w:between w:val="nil"/>
        </w:pBdr>
        <w:spacing w:line="480" w:lineRule="auto"/>
        <w:ind w:left="311" w:hanging="198"/>
        <w:jc w:val="both"/>
        <w:rPr>
          <w:rFonts w:ascii="Times New Roman" w:eastAsia="Times New Roman" w:hAnsi="Times New Roman" w:cs="Times New Roman"/>
        </w:rPr>
      </w:pPr>
      <w:r w:rsidRPr="00CE50D8">
        <w:rPr>
          <w:rFonts w:ascii="Times New Roman" w:eastAsia="Times New Roman" w:hAnsi="Times New Roman" w:cs="Times New Roman"/>
          <w:vertAlign w:val="superscript"/>
        </w:rPr>
        <w:t>4</w:t>
      </w:r>
      <w:r w:rsidRPr="00CE50D8">
        <w:rPr>
          <w:rFonts w:ascii="Times New Roman" w:eastAsia="Times New Roman" w:hAnsi="Times New Roman" w:cs="Times New Roman"/>
        </w:rPr>
        <w:tab/>
        <w:t>Department of Pharmacognosy, Faculty of Pharmacy, Gazi University, 06330 Ankara, Turkey.</w:t>
      </w:r>
    </w:p>
    <w:p w14:paraId="2383EBF6" w14:textId="77777777" w:rsidR="00221BA9" w:rsidRPr="00CE50D8" w:rsidRDefault="00221BA9">
      <w:pPr>
        <w:spacing w:line="480" w:lineRule="auto"/>
        <w:jc w:val="both"/>
        <w:rPr>
          <w:rFonts w:ascii="Times New Roman" w:eastAsia="Times New Roman" w:hAnsi="Times New Roman" w:cs="Times New Roman"/>
        </w:rPr>
      </w:pPr>
    </w:p>
    <w:p w14:paraId="17000846" w14:textId="77777777" w:rsidR="00221BA9" w:rsidRPr="00CE50D8" w:rsidRDefault="00221BA9">
      <w:pPr>
        <w:spacing w:line="480" w:lineRule="auto"/>
        <w:jc w:val="both"/>
        <w:rPr>
          <w:rFonts w:ascii="Times New Roman" w:eastAsia="Times New Roman" w:hAnsi="Times New Roman" w:cs="Times New Roman"/>
        </w:rPr>
      </w:pPr>
    </w:p>
    <w:p w14:paraId="774A18FA" w14:textId="77777777" w:rsidR="00221BA9" w:rsidRPr="00CE50D8" w:rsidRDefault="00221BA9">
      <w:pPr>
        <w:spacing w:line="480" w:lineRule="auto"/>
        <w:jc w:val="both"/>
        <w:rPr>
          <w:rFonts w:ascii="Times New Roman" w:eastAsia="Times New Roman" w:hAnsi="Times New Roman" w:cs="Times New Roman"/>
        </w:rPr>
      </w:pPr>
    </w:p>
    <w:p w14:paraId="70AD2DD2" w14:textId="77777777"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*Corresponding author:</w:t>
      </w:r>
    </w:p>
    <w:p w14:paraId="3EC3CCFF" w14:textId="77777777"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 xml:space="preserve">Dr. Horacio Pérez-Sánchez, Bioinformatics and High Performance Computing Group (BIO-HPC), UCAM, Spain; E-mail: </w:t>
      </w:r>
      <w:hyperlink r:id="rId7">
        <w:r w:rsidRPr="00CE50D8">
          <w:rPr>
            <w:rFonts w:ascii="Times New Roman" w:eastAsia="Times New Roman" w:hAnsi="Times New Roman" w:cs="Times New Roman"/>
            <w:u w:val="single"/>
          </w:rPr>
          <w:t>hperez@ucam.edu</w:t>
        </w:r>
      </w:hyperlink>
      <w:r w:rsidRPr="00CE50D8">
        <w:rPr>
          <w:rFonts w:ascii="Times New Roman" w:eastAsia="Times New Roman" w:hAnsi="Times New Roman" w:cs="Times New Roman"/>
        </w:rPr>
        <w:t xml:space="preserve"> </w:t>
      </w:r>
    </w:p>
    <w:p w14:paraId="789C2847" w14:textId="77777777"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 xml:space="preserve">Dr. Ilkay E. Orhan, Department of Pharmacognosy, Gazi University, Ankara, Turkey; E-mail: </w:t>
      </w:r>
      <w:hyperlink r:id="rId8">
        <w:r w:rsidRPr="00CE50D8">
          <w:rPr>
            <w:rFonts w:ascii="Times New Roman" w:eastAsia="Times New Roman" w:hAnsi="Times New Roman" w:cs="Times New Roman"/>
            <w:u w:val="single"/>
          </w:rPr>
          <w:t>iorhan@gazi.edu.tr</w:t>
        </w:r>
      </w:hyperlink>
      <w:r w:rsidRPr="00CE50D8">
        <w:rPr>
          <w:rFonts w:ascii="Times New Roman" w:eastAsia="Times New Roman" w:hAnsi="Times New Roman" w:cs="Times New Roman"/>
        </w:rPr>
        <w:t xml:space="preserve"> </w:t>
      </w:r>
    </w:p>
    <w:p w14:paraId="19C21D3D" w14:textId="77777777"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 xml:space="preserve">Dr. J. Manuel Villalgordo, Villapharma Research, Murcia, Spain; E-mail: </w:t>
      </w:r>
      <w:hyperlink r:id="rId9">
        <w:r w:rsidRPr="00CE50D8">
          <w:rPr>
            <w:rFonts w:ascii="Times New Roman" w:eastAsia="Times New Roman" w:hAnsi="Times New Roman" w:cs="Times New Roman"/>
            <w:u w:val="single"/>
          </w:rPr>
          <w:t>JoseManuelVillalgordo@eurofins.com</w:t>
        </w:r>
      </w:hyperlink>
      <w:r w:rsidRPr="00CE50D8">
        <w:rPr>
          <w:rFonts w:ascii="Times New Roman" w:eastAsia="Times New Roman" w:hAnsi="Times New Roman" w:cs="Times New Roman"/>
        </w:rPr>
        <w:t xml:space="preserve"> </w:t>
      </w:r>
    </w:p>
    <w:p w14:paraId="46E860EF" w14:textId="77777777" w:rsidR="00221BA9" w:rsidRPr="00CE50D8" w:rsidRDefault="00221BA9"/>
    <w:p w14:paraId="5BDB9E5E" w14:textId="77777777" w:rsidR="00221BA9" w:rsidRPr="00CE50D8" w:rsidRDefault="001A0A0E">
      <w:pPr>
        <w:spacing w:line="480" w:lineRule="auto"/>
        <w:ind w:left="3600" w:firstLine="720"/>
        <w:jc w:val="both"/>
        <w:rPr>
          <w:rFonts w:ascii="Times New Roman" w:eastAsia="Times New Roman" w:hAnsi="Times New Roman" w:cs="Times New Roman"/>
          <w:b/>
        </w:rPr>
      </w:pPr>
      <w:r w:rsidRPr="00CE50D8">
        <w:rPr>
          <w:rFonts w:ascii="Times New Roman" w:eastAsia="Times New Roman" w:hAnsi="Times New Roman" w:cs="Times New Roman"/>
          <w:b/>
        </w:rPr>
        <w:t>Abstract</w:t>
      </w:r>
    </w:p>
    <w:p w14:paraId="13576B6C" w14:textId="77777777" w:rsidR="00221BA9" w:rsidRPr="00CE50D8" w:rsidRDefault="00221BA9">
      <w:pPr>
        <w:spacing w:line="480" w:lineRule="auto"/>
        <w:jc w:val="both"/>
        <w:rPr>
          <w:rFonts w:ascii="Times New Roman" w:eastAsia="Times New Roman" w:hAnsi="Times New Roman" w:cs="Times New Roman"/>
          <w:b/>
        </w:rPr>
      </w:pPr>
    </w:p>
    <w:p w14:paraId="1BC0B799" w14:textId="77777777" w:rsidR="00221BA9" w:rsidRPr="00CE50D8" w:rsidRDefault="00221BA9">
      <w:pPr>
        <w:spacing w:line="480" w:lineRule="auto"/>
        <w:jc w:val="both"/>
        <w:rPr>
          <w:rFonts w:ascii="Times New Roman" w:eastAsia="Times New Roman" w:hAnsi="Times New Roman" w:cs="Times New Roman"/>
          <w:b/>
        </w:rPr>
      </w:pPr>
    </w:p>
    <w:p w14:paraId="4B50263F" w14:textId="6D860B52"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Acetylcholinesterase is a prime target for therapeutic intervention in Alzheimer’s disease. Acetylcholinesterase inhibitors (AChEIs) are used to improve cognitive abilities</w:t>
      </w:r>
      <w:r w:rsidR="0096281C" w:rsidRPr="00CE50D8">
        <w:rPr>
          <w:rFonts w:ascii="Times New Roman" w:eastAsia="Times New Roman" w:hAnsi="Times New Roman" w:cs="Times New Roman"/>
        </w:rPr>
        <w:t>,</w:t>
      </w:r>
      <w:r w:rsidRPr="00CE50D8">
        <w:rPr>
          <w:rFonts w:ascii="Times New Roman" w:eastAsia="Times New Roman" w:hAnsi="Times New Roman" w:cs="Times New Roman"/>
        </w:rPr>
        <w:t xml:space="preserve"> playing therefore an important role in disease management. A drug repurposing screen has been performed on a corporate chemical library containing 11353 compounds using a target fishing approach comprising of 3D shape similarity and pharmacophore modeling against an approved drugs database, Drugbank. This initial screen identified 108 hits. Among them, 8 molecules showed structural similarity with </w:t>
      </w:r>
      <w:r w:rsidR="0096281C"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known AChEI drug, pyridostigmine. Further structure-based screening using a pharmacophore guided rescoring method identifies one more potential hit. Experimental evaluations of the identified hits sieve out a highly selective AChEI scaffold. Further lead optimization using a substructure search approach identifies 24 new potential hits. Three of the 24 compounds (compound 10b, 10h, and 10i) based on a 6-(2-(pyrrolidin-1-yl)pyrimidin-4-yl)-thiazolo[3,2-a]pyrimidine scaffold showed highly promising AChE inhibition ability with IC</w:t>
      </w:r>
      <w:r w:rsidRPr="00CE50D8">
        <w:rPr>
          <w:rFonts w:ascii="Times New Roman" w:eastAsia="Times New Roman" w:hAnsi="Times New Roman" w:cs="Times New Roman"/>
          <w:vertAlign w:val="subscript"/>
        </w:rPr>
        <w:t>50</w:t>
      </w:r>
      <w:r w:rsidRPr="00CE50D8">
        <w:rPr>
          <w:rFonts w:ascii="Times New Roman" w:eastAsia="Times New Roman" w:hAnsi="Times New Roman" w:cs="Times New Roman"/>
        </w:rPr>
        <w:t xml:space="preserve"> values of </w:t>
      </w:r>
      <w:r w:rsidR="00380CD4" w:rsidRPr="00CE50D8">
        <w:rPr>
          <w:szCs w:val="20"/>
        </w:rPr>
        <w:t>13.10</w:t>
      </w:r>
      <w:r w:rsidR="00380CD4" w:rsidRPr="00CE50D8">
        <w:rPr>
          <w:rFonts w:cstheme="minorHAnsi"/>
          <w:szCs w:val="20"/>
        </w:rPr>
        <w:t>±</w:t>
      </w:r>
      <w:r w:rsidR="00380CD4" w:rsidRPr="00CE50D8">
        <w:rPr>
          <w:szCs w:val="20"/>
        </w:rPr>
        <w:t>0.53</w:t>
      </w:r>
      <w:r w:rsidRPr="00CE50D8">
        <w:rPr>
          <w:rFonts w:ascii="Times New Roman" w:eastAsia="Times New Roman" w:hAnsi="Times New Roman" w:cs="Times New Roman"/>
        </w:rPr>
        <w:t xml:space="preserve">, </w:t>
      </w:r>
      <w:r w:rsidR="00380CD4" w:rsidRPr="00CE50D8">
        <w:rPr>
          <w:szCs w:val="20"/>
        </w:rPr>
        <w:t>16.02</w:t>
      </w:r>
      <w:r w:rsidR="00380CD4" w:rsidRPr="00CE50D8">
        <w:rPr>
          <w:rFonts w:cstheme="minorHAnsi"/>
          <w:szCs w:val="20"/>
        </w:rPr>
        <w:t>±</w:t>
      </w:r>
      <w:r w:rsidR="00380CD4" w:rsidRPr="00CE50D8">
        <w:rPr>
          <w:szCs w:val="20"/>
        </w:rPr>
        <w:t>0.46</w:t>
      </w:r>
      <w:r w:rsidR="0096281C" w:rsidRPr="00CE50D8">
        <w:rPr>
          <w:rFonts w:ascii="Times New Roman" w:eastAsia="Times New Roman" w:hAnsi="Times New Roman" w:cs="Times New Roman"/>
        </w:rPr>
        <w:t>,</w:t>
      </w:r>
      <w:r w:rsidRPr="00CE50D8">
        <w:rPr>
          <w:rFonts w:ascii="Times New Roman" w:eastAsia="Times New Roman" w:hAnsi="Times New Roman" w:cs="Times New Roman"/>
        </w:rPr>
        <w:t xml:space="preserve"> and </w:t>
      </w:r>
      <w:r w:rsidR="00380CD4" w:rsidRPr="00CE50D8">
        <w:rPr>
          <w:szCs w:val="20"/>
        </w:rPr>
        <w:t>6.22</w:t>
      </w:r>
      <w:r w:rsidR="00380CD4" w:rsidRPr="00CE50D8">
        <w:rPr>
          <w:rFonts w:cstheme="minorHAnsi"/>
          <w:szCs w:val="20"/>
        </w:rPr>
        <w:t>±</w:t>
      </w:r>
      <w:r w:rsidR="00380CD4" w:rsidRPr="00CE50D8">
        <w:rPr>
          <w:szCs w:val="20"/>
        </w:rPr>
        <w:t>0.54</w:t>
      </w:r>
      <w:r w:rsidRPr="00CE50D8">
        <w:rPr>
          <w:rFonts w:ascii="Times New Roman" w:eastAsia="Times New Roman" w:hAnsi="Times New Roman" w:cs="Times New Roman"/>
        </w:rPr>
        <w:t xml:space="preserve"> µ</w:t>
      </w:r>
      <w:r w:rsidR="00380CD4" w:rsidRPr="00CE50D8">
        <w:rPr>
          <w:rFonts w:ascii="Times New Roman" w:eastAsia="Times New Roman" w:hAnsi="Times New Roman" w:cs="Times New Roman"/>
        </w:rPr>
        <w:t xml:space="preserve">M, </w:t>
      </w:r>
      <w:r w:rsidRPr="00CE50D8">
        <w:rPr>
          <w:rFonts w:ascii="Times New Roman" w:eastAsia="Times New Roman" w:hAnsi="Times New Roman" w:cs="Times New Roman"/>
        </w:rPr>
        <w:t xml:space="preserve">respectively. Moreover, these compounds are highly selective towards AChE. Compound </w:t>
      </w:r>
      <w:r w:rsidRPr="00CE50D8">
        <w:rPr>
          <w:rFonts w:ascii="Times New Roman" w:eastAsia="Times New Roman" w:hAnsi="Times New Roman" w:cs="Times New Roman"/>
          <w:b/>
        </w:rPr>
        <w:t>10i</w:t>
      </w:r>
      <w:r w:rsidRPr="00CE50D8">
        <w:rPr>
          <w:rFonts w:ascii="Times New Roman" w:eastAsia="Times New Roman" w:hAnsi="Times New Roman" w:cs="Times New Roman"/>
        </w:rPr>
        <w:t xml:space="preserve"> shows AChE inhibitory activity similar to </w:t>
      </w:r>
      <w:r w:rsidR="00B625A5" w:rsidRPr="00CE50D8">
        <w:rPr>
          <w:rFonts w:ascii="Times New Roman" w:eastAsia="Times New Roman" w:hAnsi="Times New Roman" w:cs="Times New Roman"/>
        </w:rPr>
        <w:t xml:space="preserve">a </w:t>
      </w:r>
      <w:r w:rsidRPr="00CE50D8">
        <w:rPr>
          <w:rFonts w:ascii="Times New Roman" w:eastAsia="Times New Roman" w:hAnsi="Times New Roman" w:cs="Times New Roman"/>
        </w:rPr>
        <w:t xml:space="preserve">known FDA approved drug, Galantamine, but with even better selectivity. Interaction analysis reveals hydrophobic and hydrogen bond interactions are the primary driving forces responsible for the observed high affinity of the compound with AChE.  </w:t>
      </w:r>
    </w:p>
    <w:p w14:paraId="5CD82B88" w14:textId="77777777" w:rsidR="00221BA9" w:rsidRPr="00CE50D8" w:rsidRDefault="00221BA9">
      <w:pPr>
        <w:spacing w:line="480" w:lineRule="auto"/>
        <w:jc w:val="both"/>
        <w:rPr>
          <w:rFonts w:ascii="Times New Roman" w:eastAsia="Times New Roman" w:hAnsi="Times New Roman" w:cs="Times New Roman"/>
          <w:b/>
        </w:rPr>
      </w:pPr>
    </w:p>
    <w:p w14:paraId="6C0AE8C7" w14:textId="77777777" w:rsidR="00221BA9" w:rsidRPr="00CE50D8" w:rsidRDefault="00221BA9">
      <w:pPr>
        <w:spacing w:line="480" w:lineRule="auto"/>
        <w:jc w:val="both"/>
        <w:rPr>
          <w:rFonts w:ascii="Times New Roman" w:eastAsia="Times New Roman" w:hAnsi="Times New Roman" w:cs="Times New Roman"/>
          <w:b/>
        </w:rPr>
      </w:pPr>
    </w:p>
    <w:p w14:paraId="79911B77" w14:textId="77777777" w:rsidR="00221BA9" w:rsidRPr="00CE50D8" w:rsidRDefault="00221BA9">
      <w:pPr>
        <w:spacing w:line="480" w:lineRule="auto"/>
        <w:jc w:val="both"/>
        <w:rPr>
          <w:rFonts w:ascii="Times New Roman" w:eastAsia="Times New Roman" w:hAnsi="Times New Roman" w:cs="Times New Roman"/>
          <w:b/>
        </w:rPr>
      </w:pPr>
    </w:p>
    <w:p w14:paraId="4ED7AA20" w14:textId="77777777" w:rsidR="00B625A5" w:rsidRPr="00CE50D8" w:rsidRDefault="00B625A5">
      <w:pPr>
        <w:spacing w:line="480" w:lineRule="auto"/>
        <w:jc w:val="both"/>
        <w:rPr>
          <w:rFonts w:ascii="Times New Roman" w:eastAsia="Times New Roman" w:hAnsi="Times New Roman" w:cs="Times New Roman"/>
          <w:b/>
        </w:rPr>
      </w:pPr>
    </w:p>
    <w:p w14:paraId="42A67E3E" w14:textId="77777777" w:rsidR="00B625A5" w:rsidRPr="00CE50D8" w:rsidRDefault="00B625A5">
      <w:pPr>
        <w:spacing w:line="480" w:lineRule="auto"/>
        <w:jc w:val="both"/>
        <w:rPr>
          <w:rFonts w:ascii="Times New Roman" w:eastAsia="Times New Roman" w:hAnsi="Times New Roman" w:cs="Times New Roman"/>
          <w:b/>
        </w:rPr>
      </w:pPr>
    </w:p>
    <w:p w14:paraId="0845EA97" w14:textId="77777777" w:rsidR="00221BA9" w:rsidRPr="00CE50D8" w:rsidRDefault="001A0A0E">
      <w:pPr>
        <w:spacing w:line="480" w:lineRule="auto"/>
        <w:jc w:val="both"/>
        <w:rPr>
          <w:rFonts w:ascii="Times New Roman" w:eastAsia="Times New Roman" w:hAnsi="Times New Roman" w:cs="Times New Roman"/>
          <w:b/>
        </w:rPr>
      </w:pPr>
      <w:r w:rsidRPr="00CE50D8">
        <w:rPr>
          <w:rFonts w:ascii="Times New Roman" w:eastAsia="Times New Roman" w:hAnsi="Times New Roman" w:cs="Times New Roman"/>
          <w:b/>
        </w:rPr>
        <w:lastRenderedPageBreak/>
        <w:t>Introduction</w:t>
      </w:r>
    </w:p>
    <w:p w14:paraId="7D456311" w14:textId="7A753AA4" w:rsidR="00221BA9" w:rsidRPr="00CE50D8" w:rsidRDefault="001A0A0E">
      <w:pPr>
        <w:spacing w:line="480" w:lineRule="auto"/>
        <w:jc w:val="both"/>
        <w:rPr>
          <w:rFonts w:ascii="Times New Roman" w:eastAsia="Times New Roman" w:hAnsi="Times New Roman" w:cs="Times New Roman"/>
        </w:rPr>
      </w:pPr>
      <w:bookmarkStart w:id="0" w:name="bookmark=id.30j0zll" w:colFirst="0" w:colLast="0"/>
      <w:bookmarkStart w:id="1" w:name="bookmark=id.gjdgxs" w:colFirst="0" w:colLast="0"/>
      <w:bookmarkEnd w:id="0"/>
      <w:bookmarkEnd w:id="1"/>
      <w:r w:rsidRPr="00CE50D8">
        <w:rPr>
          <w:rFonts w:ascii="Times New Roman" w:eastAsia="Times New Roman" w:hAnsi="Times New Roman" w:cs="Times New Roman"/>
        </w:rPr>
        <w:t>Alzheimer’s disease (AD) is a progressive neurodegenerative disorder, primarily in elderly people [</w:t>
      </w:r>
      <w:hyperlink w:anchor="_heading=h.2et92p0">
        <w:r w:rsidRPr="00CE50D8">
          <w:rPr>
            <w:rFonts w:ascii="Times New Roman" w:eastAsia="Times New Roman" w:hAnsi="Times New Roman" w:cs="Times New Roman"/>
            <w:u w:val="single"/>
          </w:rPr>
          <w:t>1</w:t>
        </w:r>
      </w:hyperlink>
      <w:r w:rsidRPr="00CE50D8">
        <w:rPr>
          <w:rFonts w:ascii="Times New Roman" w:eastAsia="Times New Roman" w:hAnsi="Times New Roman" w:cs="Times New Roman"/>
        </w:rPr>
        <w:t>]. The pathophysiological features of the disease involve slow obliteration of cognition abilities, logical thinking, sensory processes which eventually lead to death [</w:t>
      </w:r>
      <w:hyperlink w:anchor="_heading=h.2et92p0">
        <w:r w:rsidRPr="00CE50D8">
          <w:rPr>
            <w:rFonts w:ascii="Times New Roman" w:eastAsia="Times New Roman" w:hAnsi="Times New Roman" w:cs="Times New Roman"/>
            <w:u w:val="single"/>
          </w:rPr>
          <w:t>1</w:t>
        </w:r>
      </w:hyperlink>
      <w:r w:rsidRPr="00CE50D8">
        <w:rPr>
          <w:rFonts w:ascii="Times New Roman" w:eastAsia="Times New Roman" w:hAnsi="Times New Roman" w:cs="Times New Roman"/>
        </w:rPr>
        <w:t xml:space="preserve">, </w:t>
      </w:r>
      <w:hyperlink w:anchor="_heading=h.tyjcwt">
        <w:r w:rsidRPr="00CE50D8">
          <w:rPr>
            <w:rFonts w:ascii="Times New Roman" w:eastAsia="Times New Roman" w:hAnsi="Times New Roman" w:cs="Times New Roman"/>
            <w:u w:val="single"/>
          </w:rPr>
          <w:t>2</w:t>
        </w:r>
      </w:hyperlink>
      <w:r w:rsidRPr="00CE50D8">
        <w:rPr>
          <w:rFonts w:ascii="Times New Roman" w:eastAsia="Times New Roman" w:hAnsi="Times New Roman" w:cs="Times New Roman"/>
        </w:rPr>
        <w:t xml:space="preserve">]. Once considered a rare disorder, it now emerges as </w:t>
      </w:r>
      <w:r w:rsidR="0096281C"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5</w:t>
      </w:r>
      <w:r w:rsidRPr="00CE50D8">
        <w:rPr>
          <w:rFonts w:ascii="Times New Roman" w:eastAsia="Times New Roman" w:hAnsi="Times New Roman" w:cs="Times New Roman"/>
          <w:vertAlign w:val="superscript"/>
        </w:rPr>
        <w:t>th</w:t>
      </w:r>
      <w:r w:rsidRPr="00CE50D8">
        <w:rPr>
          <w:rFonts w:ascii="Times New Roman" w:eastAsia="Times New Roman" w:hAnsi="Times New Roman" w:cs="Times New Roman"/>
        </w:rPr>
        <w:t xml:space="preserve"> leading cause of death worldwide. Not only the severe morbidity rate but also the disease imposes </w:t>
      </w:r>
      <w:r w:rsidR="00033931" w:rsidRPr="00CE50D8">
        <w:rPr>
          <w:rFonts w:ascii="Times New Roman" w:eastAsia="Times New Roman" w:hAnsi="Times New Roman" w:cs="Times New Roman"/>
        </w:rPr>
        <w:t xml:space="preserve">a </w:t>
      </w:r>
      <w:r w:rsidRPr="00CE50D8">
        <w:rPr>
          <w:rFonts w:ascii="Times New Roman" w:eastAsia="Times New Roman" w:hAnsi="Times New Roman" w:cs="Times New Roman"/>
        </w:rPr>
        <w:t xml:space="preserve">huge financial burden </w:t>
      </w:r>
      <w:r w:rsidR="0096281C" w:rsidRPr="00CE50D8">
        <w:rPr>
          <w:rFonts w:ascii="Times New Roman" w:eastAsia="Times New Roman" w:hAnsi="Times New Roman" w:cs="Times New Roman"/>
        </w:rPr>
        <w:t>on</w:t>
      </w:r>
      <w:r w:rsidRPr="00CE50D8">
        <w:rPr>
          <w:rFonts w:ascii="Times New Roman" w:eastAsia="Times New Roman" w:hAnsi="Times New Roman" w:cs="Times New Roman"/>
        </w:rPr>
        <w:t xml:space="preserve"> the public health care system which makes AD a primary health care concern worldwide. </w:t>
      </w:r>
    </w:p>
    <w:p w14:paraId="69F67690" w14:textId="2E776B59" w:rsidR="00221BA9" w:rsidRPr="00CE50D8" w:rsidRDefault="00033931">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The l</w:t>
      </w:r>
      <w:r w:rsidR="001A0A0E" w:rsidRPr="00CE50D8">
        <w:rPr>
          <w:rFonts w:ascii="Times New Roman" w:eastAsia="Times New Roman" w:hAnsi="Times New Roman" w:cs="Times New Roman"/>
        </w:rPr>
        <w:t xml:space="preserve">ast two decades witnessed tremendous growth in research interest to uncover disease pathogenesis and identify </w:t>
      </w:r>
      <w:r w:rsidRPr="00CE50D8">
        <w:rPr>
          <w:rFonts w:ascii="Times New Roman" w:eastAsia="Times New Roman" w:hAnsi="Times New Roman" w:cs="Times New Roman"/>
        </w:rPr>
        <w:t xml:space="preserve">a </w:t>
      </w:r>
      <w:r w:rsidR="001A0A0E" w:rsidRPr="00CE50D8">
        <w:rPr>
          <w:rFonts w:ascii="Times New Roman" w:eastAsia="Times New Roman" w:hAnsi="Times New Roman" w:cs="Times New Roman"/>
        </w:rPr>
        <w:t>therapy that can target the disease pathogenesis. Although several risk factors have been identified,</w:t>
      </w:r>
      <w:sdt>
        <w:sdtPr>
          <w:tag w:val="goog_rdk_0"/>
          <w:id w:val="-397361769"/>
        </w:sdtPr>
        <w:sdtContent/>
      </w:sdt>
      <w:r w:rsidR="001A0A0E" w:rsidRPr="00CE50D8">
        <w:rPr>
          <w:rFonts w:ascii="Times New Roman" w:eastAsia="Times New Roman" w:hAnsi="Times New Roman" w:cs="Times New Roman"/>
        </w:rPr>
        <w:t xml:space="preserve"> the definitive cause of the disease remains elusive [</w:t>
      </w:r>
      <w:hyperlink w:anchor="_heading=h.3dy6vkm">
        <w:r w:rsidR="001A0A0E" w:rsidRPr="00CE50D8">
          <w:rPr>
            <w:rFonts w:ascii="Times New Roman" w:eastAsia="Times New Roman" w:hAnsi="Times New Roman" w:cs="Times New Roman"/>
            <w:u w:val="single"/>
          </w:rPr>
          <w:t>3</w:t>
        </w:r>
      </w:hyperlink>
      <w:r w:rsidR="001A0A0E" w:rsidRPr="00CE50D8">
        <w:rPr>
          <w:rFonts w:ascii="Times New Roman" w:eastAsia="Times New Roman" w:hAnsi="Times New Roman" w:cs="Times New Roman"/>
        </w:rPr>
        <w:t>].  Early</w:t>
      </w:r>
      <w:r w:rsidRPr="00CE50D8">
        <w:rPr>
          <w:rFonts w:ascii="Times New Roman" w:eastAsia="Times New Roman" w:hAnsi="Times New Roman" w:cs="Times New Roman"/>
        </w:rPr>
        <w:t>-</w:t>
      </w:r>
      <w:r w:rsidR="001A0A0E" w:rsidRPr="00CE50D8">
        <w:rPr>
          <w:rFonts w:ascii="Times New Roman" w:eastAsia="Times New Roman" w:hAnsi="Times New Roman" w:cs="Times New Roman"/>
        </w:rPr>
        <w:t xml:space="preserve">onset AD follows a Mendelian pattern of inheritance and mutations in </w:t>
      </w:r>
      <w:r w:rsidR="001A0A0E" w:rsidRPr="00CE50D8">
        <w:rPr>
          <w:rFonts w:ascii="Times New Roman" w:eastAsia="Times New Roman" w:hAnsi="Times New Roman" w:cs="Times New Roman"/>
          <w:i/>
        </w:rPr>
        <w:t>APP</w:t>
      </w:r>
      <w:r w:rsidR="001A0A0E" w:rsidRPr="00CE50D8">
        <w:rPr>
          <w:rFonts w:ascii="Times New Roman" w:eastAsia="Times New Roman" w:hAnsi="Times New Roman" w:cs="Times New Roman"/>
        </w:rPr>
        <w:t>,</w:t>
      </w:r>
      <w:r w:rsidRPr="00CE50D8">
        <w:rPr>
          <w:rFonts w:ascii="Times New Roman" w:eastAsia="Times New Roman" w:hAnsi="Times New Roman" w:cs="Times New Roman"/>
        </w:rPr>
        <w:t xml:space="preserve"> </w:t>
      </w:r>
      <w:r w:rsidR="001A0A0E" w:rsidRPr="00CE50D8">
        <w:rPr>
          <w:rFonts w:ascii="Times New Roman" w:eastAsia="Times New Roman" w:hAnsi="Times New Roman" w:cs="Times New Roman"/>
          <w:i/>
        </w:rPr>
        <w:t>PSEN1</w:t>
      </w:r>
      <w:r w:rsidR="001A0A0E" w:rsidRPr="00CE50D8">
        <w:rPr>
          <w:rFonts w:ascii="Times New Roman" w:eastAsia="Times New Roman" w:hAnsi="Times New Roman" w:cs="Times New Roman"/>
        </w:rPr>
        <w:t xml:space="preserve">, and </w:t>
      </w:r>
      <w:r w:rsidR="001A0A0E" w:rsidRPr="00CE50D8">
        <w:rPr>
          <w:rFonts w:ascii="Times New Roman" w:eastAsia="Times New Roman" w:hAnsi="Times New Roman" w:cs="Times New Roman"/>
          <w:i/>
        </w:rPr>
        <w:t>PSEN2</w:t>
      </w:r>
      <w:r w:rsidR="001A0A0E" w:rsidRPr="00CE50D8">
        <w:rPr>
          <w:rFonts w:ascii="Times New Roman" w:eastAsia="Times New Roman" w:hAnsi="Times New Roman" w:cs="Times New Roman"/>
        </w:rPr>
        <w:t xml:space="preserve"> genes are strongly correlated with the disease prevalence [</w:t>
      </w:r>
      <w:hyperlink w:anchor="_heading=h.1t3h5sf">
        <w:r w:rsidR="001A0A0E" w:rsidRPr="00CE50D8">
          <w:rPr>
            <w:rFonts w:ascii="Times New Roman" w:eastAsia="Times New Roman" w:hAnsi="Times New Roman" w:cs="Times New Roman"/>
            <w:u w:val="single"/>
          </w:rPr>
          <w:t>4</w:t>
        </w:r>
      </w:hyperlink>
      <w:r w:rsidR="001A0A0E" w:rsidRPr="00CE50D8">
        <w:rPr>
          <w:rFonts w:ascii="Times New Roman" w:eastAsia="Times New Roman" w:hAnsi="Times New Roman" w:cs="Times New Roman"/>
        </w:rPr>
        <w:t xml:space="preserve">]. Genes responsible for the late-onset AD, the most prevalent form, are not clearly identified. However, several risk factors have been identified. APOE ε4 allele shows a high-risk </w:t>
      </w:r>
      <w:r w:rsidR="0096281C" w:rsidRPr="00CE50D8">
        <w:rPr>
          <w:rFonts w:ascii="Times New Roman" w:eastAsia="Times New Roman" w:hAnsi="Times New Roman" w:cs="Times New Roman"/>
        </w:rPr>
        <w:t xml:space="preserve">of </w:t>
      </w:r>
      <w:r w:rsidR="001A0A0E" w:rsidRPr="00CE50D8">
        <w:rPr>
          <w:rFonts w:ascii="Times New Roman" w:eastAsia="Times New Roman" w:hAnsi="Times New Roman" w:cs="Times New Roman"/>
        </w:rPr>
        <w:t>association with the prevalence of late-onset AD [</w:t>
      </w:r>
      <w:hyperlink w:anchor="_heading=h.4d34og8">
        <w:r w:rsidR="001A0A0E" w:rsidRPr="00CE50D8">
          <w:rPr>
            <w:rFonts w:ascii="Times New Roman" w:eastAsia="Times New Roman" w:hAnsi="Times New Roman" w:cs="Times New Roman"/>
            <w:u w:val="single"/>
          </w:rPr>
          <w:t>5-7</w:t>
        </w:r>
      </w:hyperlink>
      <w:r w:rsidR="001A0A0E" w:rsidRPr="00CE50D8">
        <w:rPr>
          <w:rFonts w:ascii="Times New Roman" w:eastAsia="Times New Roman" w:hAnsi="Times New Roman" w:cs="Times New Roman"/>
        </w:rPr>
        <w:t>]. Genome-wide association studies (GWAS) have identified sortilin-related receptor (</w:t>
      </w:r>
      <w:r w:rsidR="001A0A0E" w:rsidRPr="00CE50D8">
        <w:rPr>
          <w:rFonts w:ascii="Times New Roman" w:eastAsia="Times New Roman" w:hAnsi="Times New Roman" w:cs="Times New Roman"/>
          <w:i/>
        </w:rPr>
        <w:t>SORL1</w:t>
      </w:r>
      <w:r w:rsidR="001A0A0E" w:rsidRPr="00CE50D8">
        <w:rPr>
          <w:rFonts w:ascii="Times New Roman" w:eastAsia="Times New Roman" w:hAnsi="Times New Roman" w:cs="Times New Roman"/>
        </w:rPr>
        <w:t xml:space="preserve">) gene as a high-risk factor </w:t>
      </w:r>
      <w:r w:rsidR="0096281C" w:rsidRPr="00CE50D8">
        <w:rPr>
          <w:rFonts w:ascii="Times New Roman" w:eastAsia="Times New Roman" w:hAnsi="Times New Roman" w:cs="Times New Roman"/>
        </w:rPr>
        <w:t>for</w:t>
      </w:r>
      <w:r w:rsidR="001A0A0E" w:rsidRPr="00CE50D8">
        <w:rPr>
          <w:rFonts w:ascii="Times New Roman" w:eastAsia="Times New Roman" w:hAnsi="Times New Roman" w:cs="Times New Roman"/>
        </w:rPr>
        <w:t xml:space="preserve"> AD [</w:t>
      </w:r>
      <w:hyperlink w:anchor="_heading=h.3rdcrjn">
        <w:r w:rsidR="001A0A0E" w:rsidRPr="00CE50D8">
          <w:rPr>
            <w:rFonts w:ascii="Times New Roman" w:eastAsia="Times New Roman" w:hAnsi="Times New Roman" w:cs="Times New Roman"/>
            <w:u w:val="single"/>
          </w:rPr>
          <w:t>8</w:t>
        </w:r>
      </w:hyperlink>
      <w:r w:rsidR="001A0A0E" w:rsidRPr="00CE50D8">
        <w:rPr>
          <w:rFonts w:ascii="Times New Roman" w:eastAsia="Times New Roman" w:hAnsi="Times New Roman" w:cs="Times New Roman"/>
        </w:rPr>
        <w:t xml:space="preserve">]. Also, several susceptibility loci have been identified, among them, </w:t>
      </w:r>
      <w:r w:rsidR="001A0A0E" w:rsidRPr="00CE50D8">
        <w:rPr>
          <w:rFonts w:ascii="Times New Roman" w:eastAsia="Times New Roman" w:hAnsi="Times New Roman" w:cs="Times New Roman"/>
          <w:i/>
        </w:rPr>
        <w:t>CLU</w:t>
      </w:r>
      <w:r w:rsidR="001A0A0E" w:rsidRPr="00CE50D8">
        <w:rPr>
          <w:rFonts w:ascii="Times New Roman" w:eastAsia="Times New Roman" w:hAnsi="Times New Roman" w:cs="Times New Roman"/>
        </w:rPr>
        <w:t xml:space="preserve">, </w:t>
      </w:r>
      <w:r w:rsidR="001A0A0E" w:rsidRPr="00CE50D8">
        <w:rPr>
          <w:rFonts w:ascii="Times New Roman" w:eastAsia="Times New Roman" w:hAnsi="Times New Roman" w:cs="Times New Roman"/>
          <w:i/>
        </w:rPr>
        <w:t>PICALM</w:t>
      </w:r>
      <w:r w:rsidR="001A0A0E" w:rsidRPr="00CE50D8">
        <w:rPr>
          <w:rFonts w:ascii="Times New Roman" w:eastAsia="Times New Roman" w:hAnsi="Times New Roman" w:cs="Times New Roman"/>
        </w:rPr>
        <w:t xml:space="preserve">, </w:t>
      </w:r>
      <w:r w:rsidR="001A0A0E" w:rsidRPr="00CE50D8">
        <w:rPr>
          <w:rFonts w:ascii="Times New Roman" w:eastAsia="Times New Roman" w:hAnsi="Times New Roman" w:cs="Times New Roman"/>
          <w:i/>
        </w:rPr>
        <w:t>CR1</w:t>
      </w:r>
      <w:r w:rsidR="001A0A0E" w:rsidRPr="00CE50D8">
        <w:rPr>
          <w:rFonts w:ascii="Times New Roman" w:eastAsia="Times New Roman" w:hAnsi="Times New Roman" w:cs="Times New Roman"/>
        </w:rPr>
        <w:t xml:space="preserve">, and </w:t>
      </w:r>
      <w:r w:rsidR="001A0A0E" w:rsidRPr="00CE50D8">
        <w:rPr>
          <w:rFonts w:ascii="Times New Roman" w:eastAsia="Times New Roman" w:hAnsi="Times New Roman" w:cs="Times New Roman"/>
          <w:i/>
        </w:rPr>
        <w:t xml:space="preserve">BIN1 </w:t>
      </w:r>
      <w:r w:rsidR="001A0A0E" w:rsidRPr="00CE50D8">
        <w:rPr>
          <w:rFonts w:ascii="Times New Roman" w:eastAsia="Times New Roman" w:hAnsi="Times New Roman" w:cs="Times New Roman"/>
        </w:rPr>
        <w:t>genes are most significant [</w:t>
      </w:r>
      <w:hyperlink w:anchor="_heading=h.26in1rg">
        <w:r w:rsidR="001A0A0E" w:rsidRPr="00CE50D8">
          <w:rPr>
            <w:rFonts w:ascii="Times New Roman" w:eastAsia="Times New Roman" w:hAnsi="Times New Roman" w:cs="Times New Roman"/>
            <w:u w:val="single"/>
          </w:rPr>
          <w:t>9</w:t>
        </w:r>
      </w:hyperlink>
      <w:r w:rsidR="001A0A0E" w:rsidRPr="00CE50D8">
        <w:rPr>
          <w:rFonts w:ascii="Times New Roman" w:eastAsia="Times New Roman" w:hAnsi="Times New Roman" w:cs="Times New Roman"/>
        </w:rPr>
        <w:t>]. Molecular characterization of the disease reveals a complex nature of disease pathogenesis due to the induction of many detrimental signaling cascades. Several signaling pathways including amyloid cascades [</w:t>
      </w:r>
      <w:hyperlink w:anchor="_heading=h.3dy6vkm">
        <w:r w:rsidR="001A0A0E" w:rsidRPr="00CE50D8">
          <w:rPr>
            <w:rFonts w:ascii="Times New Roman" w:eastAsia="Times New Roman" w:hAnsi="Times New Roman" w:cs="Times New Roman"/>
            <w:u w:val="single"/>
          </w:rPr>
          <w:t>3</w:t>
        </w:r>
      </w:hyperlink>
      <w:r w:rsidR="001A0A0E" w:rsidRPr="00CE50D8">
        <w:rPr>
          <w:rFonts w:ascii="Times New Roman" w:eastAsia="Times New Roman" w:hAnsi="Times New Roman" w:cs="Times New Roman"/>
        </w:rPr>
        <w:t xml:space="preserve">, </w:t>
      </w:r>
      <w:hyperlink w:anchor="_heading=h.lnxbz9">
        <w:r w:rsidR="001A0A0E" w:rsidRPr="00CE50D8">
          <w:rPr>
            <w:rFonts w:ascii="Times New Roman" w:eastAsia="Times New Roman" w:hAnsi="Times New Roman" w:cs="Times New Roman"/>
            <w:u w:val="single"/>
          </w:rPr>
          <w:t>10</w:t>
        </w:r>
      </w:hyperlink>
      <w:r w:rsidR="001A0A0E" w:rsidRPr="00CE50D8">
        <w:rPr>
          <w:rFonts w:ascii="Times New Roman" w:eastAsia="Times New Roman" w:hAnsi="Times New Roman" w:cs="Times New Roman"/>
        </w:rPr>
        <w:t xml:space="preserve">, </w:t>
      </w:r>
      <w:hyperlink w:anchor="_heading=h.35nkun2">
        <w:r w:rsidR="001A0A0E" w:rsidRPr="00CE50D8">
          <w:rPr>
            <w:rFonts w:ascii="Times New Roman" w:eastAsia="Times New Roman" w:hAnsi="Times New Roman" w:cs="Times New Roman"/>
            <w:u w:val="single"/>
          </w:rPr>
          <w:t>11</w:t>
        </w:r>
      </w:hyperlink>
      <w:r w:rsidR="001A0A0E" w:rsidRPr="00CE50D8">
        <w:rPr>
          <w:rFonts w:ascii="Times New Roman" w:eastAsia="Times New Roman" w:hAnsi="Times New Roman" w:cs="Times New Roman"/>
        </w:rPr>
        <w:t>], neurofibrillary tangle formation [</w:t>
      </w:r>
      <w:hyperlink w:anchor="_heading=h.1ksv4uv">
        <w:r w:rsidR="001A0A0E" w:rsidRPr="00CE50D8">
          <w:rPr>
            <w:rFonts w:ascii="Times New Roman" w:eastAsia="Times New Roman" w:hAnsi="Times New Roman" w:cs="Times New Roman"/>
            <w:u w:val="single"/>
          </w:rPr>
          <w:t>12-15</w:t>
        </w:r>
      </w:hyperlink>
      <w:r w:rsidR="001A0A0E" w:rsidRPr="00CE50D8">
        <w:rPr>
          <w:rFonts w:ascii="Times New Roman" w:eastAsia="Times New Roman" w:hAnsi="Times New Roman" w:cs="Times New Roman"/>
        </w:rPr>
        <w:t>], cholinergic systems [</w:t>
      </w:r>
      <w:hyperlink w:anchor="_heading=h.3j2qqm3">
        <w:r w:rsidR="001A0A0E" w:rsidRPr="00CE50D8">
          <w:rPr>
            <w:rFonts w:ascii="Times New Roman" w:eastAsia="Times New Roman" w:hAnsi="Times New Roman" w:cs="Times New Roman"/>
            <w:u w:val="single"/>
          </w:rPr>
          <w:t>16-20</w:t>
        </w:r>
      </w:hyperlink>
      <w:r w:rsidR="001A0A0E" w:rsidRPr="00CE50D8">
        <w:rPr>
          <w:rFonts w:ascii="Times New Roman" w:eastAsia="Times New Roman" w:hAnsi="Times New Roman" w:cs="Times New Roman"/>
        </w:rPr>
        <w:t>], and oxidative stress [</w:t>
      </w:r>
      <w:hyperlink w:anchor="_heading=h.3whwml4">
        <w:r w:rsidR="001A0A0E" w:rsidRPr="00CE50D8">
          <w:rPr>
            <w:rFonts w:ascii="Times New Roman" w:eastAsia="Times New Roman" w:hAnsi="Times New Roman" w:cs="Times New Roman"/>
            <w:u w:val="single"/>
          </w:rPr>
          <w:t>21-23</w:t>
        </w:r>
      </w:hyperlink>
      <w:r w:rsidR="001A0A0E" w:rsidRPr="00CE50D8">
        <w:rPr>
          <w:rFonts w:ascii="Times New Roman" w:eastAsia="Times New Roman" w:hAnsi="Times New Roman" w:cs="Times New Roman"/>
        </w:rPr>
        <w:t xml:space="preserve">] mediated processes are induced simultaneously and their cross-talk makes the disease pathogenesis highly complex and yet to be understood completely. </w:t>
      </w:r>
    </w:p>
    <w:p w14:paraId="2F2F6807" w14:textId="1784D315"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 xml:space="preserve">Neurochemical and histopathological studies in the brains of AD patients revealed a strong correlation between the degeneration of </w:t>
      </w:r>
      <w:r w:rsidR="0096281C"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presynaptic cholinergic system and the behavioral and cognition deficits [</w:t>
      </w:r>
      <w:hyperlink w:anchor="_heading=h.1ci93xb">
        <w:r w:rsidRPr="00CE50D8">
          <w:rPr>
            <w:rFonts w:ascii="Times New Roman" w:eastAsia="Times New Roman" w:hAnsi="Times New Roman" w:cs="Times New Roman"/>
            <w:u w:val="single"/>
          </w:rPr>
          <w:t>20</w:t>
        </w:r>
      </w:hyperlink>
      <w:r w:rsidRPr="00CE50D8">
        <w:rPr>
          <w:rFonts w:ascii="Times New Roman" w:eastAsia="Times New Roman" w:hAnsi="Times New Roman" w:cs="Times New Roman"/>
        </w:rPr>
        <w:t xml:space="preserve">, </w:t>
      </w:r>
      <w:hyperlink w:anchor="_heading=h.3as4poj">
        <w:r w:rsidRPr="00CE50D8">
          <w:rPr>
            <w:rFonts w:ascii="Times New Roman" w:eastAsia="Times New Roman" w:hAnsi="Times New Roman" w:cs="Times New Roman"/>
            <w:u w:val="single"/>
          </w:rPr>
          <w:t>24</w:t>
        </w:r>
      </w:hyperlink>
      <w:r w:rsidRPr="00CE50D8">
        <w:rPr>
          <w:rFonts w:ascii="Times New Roman" w:eastAsia="Times New Roman" w:hAnsi="Times New Roman" w:cs="Times New Roman"/>
        </w:rPr>
        <w:t xml:space="preserve">]. Damage of the cholinergic neurotransmission particularly in </w:t>
      </w:r>
      <w:r w:rsidRPr="00CE50D8">
        <w:rPr>
          <w:rFonts w:ascii="Times New Roman" w:eastAsia="Times New Roman" w:hAnsi="Times New Roman" w:cs="Times New Roman"/>
        </w:rPr>
        <w:lastRenderedPageBreak/>
        <w:t xml:space="preserve">the region of </w:t>
      </w:r>
      <w:r w:rsidR="00393815"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nucleus basalis of Meynert and medical septum strongly hampers different aspects of memory, cognition, behavior</w:t>
      </w:r>
      <w:r w:rsidR="00393815" w:rsidRPr="00CE50D8">
        <w:rPr>
          <w:rFonts w:ascii="Times New Roman" w:eastAsia="Times New Roman" w:hAnsi="Times New Roman" w:cs="Times New Roman"/>
        </w:rPr>
        <w:t>,</w:t>
      </w:r>
      <w:r w:rsidRPr="00CE50D8">
        <w:rPr>
          <w:rFonts w:ascii="Times New Roman" w:eastAsia="Times New Roman" w:hAnsi="Times New Roman" w:cs="Times New Roman"/>
        </w:rPr>
        <w:t xml:space="preserve"> and information processing by cortical and hippocampal regions [</w:t>
      </w:r>
      <w:hyperlink w:anchor="_heading=h.1y810tw">
        <w:r w:rsidRPr="00CE50D8">
          <w:rPr>
            <w:rFonts w:ascii="Times New Roman" w:eastAsia="Times New Roman" w:hAnsi="Times New Roman" w:cs="Times New Roman"/>
            <w:u w:val="single"/>
          </w:rPr>
          <w:t>17</w:t>
        </w:r>
      </w:hyperlink>
      <w:r w:rsidRPr="00CE50D8">
        <w:rPr>
          <w:rFonts w:ascii="Times New Roman" w:eastAsia="Times New Roman" w:hAnsi="Times New Roman" w:cs="Times New Roman"/>
        </w:rPr>
        <w:t xml:space="preserve">, </w:t>
      </w:r>
      <w:hyperlink w:anchor="_heading=h.1ci93xb">
        <w:r w:rsidRPr="00CE50D8">
          <w:rPr>
            <w:rFonts w:ascii="Times New Roman" w:eastAsia="Times New Roman" w:hAnsi="Times New Roman" w:cs="Times New Roman"/>
            <w:u w:val="single"/>
          </w:rPr>
          <w:t>20</w:t>
        </w:r>
      </w:hyperlink>
      <w:r w:rsidRPr="00CE50D8">
        <w:rPr>
          <w:rFonts w:ascii="Times New Roman" w:eastAsia="Times New Roman" w:hAnsi="Times New Roman" w:cs="Times New Roman"/>
        </w:rPr>
        <w:t xml:space="preserve">, </w:t>
      </w:r>
      <w:hyperlink w:anchor="_heading=h.3as4poj">
        <w:r w:rsidRPr="00CE50D8">
          <w:rPr>
            <w:rFonts w:ascii="Times New Roman" w:eastAsia="Times New Roman" w:hAnsi="Times New Roman" w:cs="Times New Roman"/>
            <w:u w:val="single"/>
          </w:rPr>
          <w:t>24</w:t>
        </w:r>
      </w:hyperlink>
      <w:r w:rsidRPr="00CE50D8">
        <w:rPr>
          <w:rFonts w:ascii="Times New Roman" w:eastAsia="Times New Roman" w:hAnsi="Times New Roman" w:cs="Times New Roman"/>
        </w:rPr>
        <w:t>]. Acetylcholine plays a crucial role in peripheral and central nervous systems [</w:t>
      </w:r>
      <w:hyperlink w:anchor="_heading=h.1pxezwc">
        <w:r w:rsidRPr="00CE50D8">
          <w:rPr>
            <w:rFonts w:ascii="Times New Roman" w:eastAsia="Times New Roman" w:hAnsi="Times New Roman" w:cs="Times New Roman"/>
            <w:u w:val="single"/>
          </w:rPr>
          <w:t>25</w:t>
        </w:r>
      </w:hyperlink>
      <w:r w:rsidRPr="00CE50D8">
        <w:rPr>
          <w:rFonts w:ascii="Times New Roman" w:eastAsia="Times New Roman" w:hAnsi="Times New Roman" w:cs="Times New Roman"/>
        </w:rPr>
        <w:t>]. Proper functioning of cholinergic neurotransmitter</w:t>
      </w:r>
      <w:r w:rsidR="00393815" w:rsidRPr="00CE50D8">
        <w:rPr>
          <w:rFonts w:ascii="Times New Roman" w:eastAsia="Times New Roman" w:hAnsi="Times New Roman" w:cs="Times New Roman"/>
        </w:rPr>
        <w:t>s</w:t>
      </w:r>
      <w:r w:rsidRPr="00CE50D8">
        <w:rPr>
          <w:rFonts w:ascii="Times New Roman" w:eastAsia="Times New Roman" w:hAnsi="Times New Roman" w:cs="Times New Roman"/>
        </w:rPr>
        <w:t xml:space="preserve"> depends on the proper synchronization in synthesis, storage, transportation</w:t>
      </w:r>
      <w:r w:rsidR="00393815" w:rsidRPr="00CE50D8">
        <w:rPr>
          <w:rFonts w:ascii="Times New Roman" w:eastAsia="Times New Roman" w:hAnsi="Times New Roman" w:cs="Times New Roman"/>
        </w:rPr>
        <w:t>,</w:t>
      </w:r>
      <w:r w:rsidRPr="00CE50D8">
        <w:rPr>
          <w:rFonts w:ascii="Times New Roman" w:eastAsia="Times New Roman" w:hAnsi="Times New Roman" w:cs="Times New Roman"/>
        </w:rPr>
        <w:t xml:space="preserve"> and degradation of acetylcholine [</w:t>
      </w:r>
      <w:hyperlink w:anchor="_heading=h.1pxezwc">
        <w:r w:rsidRPr="00CE50D8">
          <w:rPr>
            <w:rFonts w:ascii="Times New Roman" w:eastAsia="Times New Roman" w:hAnsi="Times New Roman" w:cs="Times New Roman"/>
            <w:u w:val="single"/>
          </w:rPr>
          <w:t>25</w:t>
        </w:r>
      </w:hyperlink>
      <w:r w:rsidRPr="00CE50D8">
        <w:rPr>
          <w:rFonts w:ascii="Times New Roman" w:eastAsia="Times New Roman" w:hAnsi="Times New Roman" w:cs="Times New Roman"/>
        </w:rPr>
        <w:t>]. The enzyme, acetylcholinesterase (AChE), degrades acetylcholine to generate choline and acetate. Reuptake of choline into the cholinergic neuron occurs through an active transport system. The enzyme co-localizes and firmly adheres to the senile plaque [</w:t>
      </w:r>
      <w:hyperlink w:anchor="_heading=h.49x2ik5">
        <w:r w:rsidRPr="00CE50D8">
          <w:rPr>
            <w:rFonts w:ascii="Times New Roman" w:eastAsia="Times New Roman" w:hAnsi="Times New Roman" w:cs="Times New Roman"/>
            <w:u w:val="single"/>
          </w:rPr>
          <w:t>26</w:t>
        </w:r>
      </w:hyperlink>
      <w:r w:rsidRPr="00CE50D8">
        <w:rPr>
          <w:rFonts w:ascii="Times New Roman" w:eastAsia="Times New Roman" w:hAnsi="Times New Roman" w:cs="Times New Roman"/>
        </w:rPr>
        <w:t xml:space="preserve">, </w:t>
      </w:r>
      <w:hyperlink w:anchor="_heading=h.2p2csry">
        <w:r w:rsidRPr="00CE50D8">
          <w:rPr>
            <w:rFonts w:ascii="Times New Roman" w:eastAsia="Times New Roman" w:hAnsi="Times New Roman" w:cs="Times New Roman"/>
            <w:u w:val="single"/>
          </w:rPr>
          <w:t>27</w:t>
        </w:r>
      </w:hyperlink>
      <w:r w:rsidRPr="00CE50D8">
        <w:rPr>
          <w:rFonts w:ascii="Times New Roman" w:eastAsia="Times New Roman" w:hAnsi="Times New Roman" w:cs="Times New Roman"/>
        </w:rPr>
        <w:t xml:space="preserve">]. In </w:t>
      </w:r>
      <w:r w:rsidR="00393815"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 xml:space="preserve">presence of bound AChE, </w:t>
      </w:r>
      <w:r w:rsidR="00393815"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neurotoxicity of amyloid increases significantly [</w:t>
      </w:r>
      <w:hyperlink w:anchor="_heading=h.147n2zr">
        <w:r w:rsidRPr="00CE50D8">
          <w:rPr>
            <w:rFonts w:ascii="Times New Roman" w:eastAsia="Times New Roman" w:hAnsi="Times New Roman" w:cs="Times New Roman"/>
            <w:u w:val="single"/>
          </w:rPr>
          <w:t>28</w:t>
        </w:r>
      </w:hyperlink>
      <w:r w:rsidRPr="00CE50D8">
        <w:rPr>
          <w:rFonts w:ascii="Times New Roman" w:eastAsia="Times New Roman" w:hAnsi="Times New Roman" w:cs="Times New Roman"/>
        </w:rPr>
        <w:t xml:space="preserve">, </w:t>
      </w:r>
      <w:hyperlink w:anchor="_heading=h.3o7alnk">
        <w:r w:rsidRPr="00CE50D8">
          <w:rPr>
            <w:rFonts w:ascii="Times New Roman" w:eastAsia="Times New Roman" w:hAnsi="Times New Roman" w:cs="Times New Roman"/>
            <w:u w:val="single"/>
          </w:rPr>
          <w:t>29</w:t>
        </w:r>
      </w:hyperlink>
      <w:r w:rsidRPr="00CE50D8">
        <w:rPr>
          <w:rFonts w:ascii="Times New Roman" w:eastAsia="Times New Roman" w:hAnsi="Times New Roman" w:cs="Times New Roman"/>
        </w:rPr>
        <w:t>]. All these observations make AChE a prime target for therapeutic interventions in AD [</w:t>
      </w:r>
      <w:hyperlink w:anchor="_heading=h.23ckvvd">
        <w:r w:rsidRPr="00CE50D8">
          <w:rPr>
            <w:rFonts w:ascii="Times New Roman" w:eastAsia="Times New Roman" w:hAnsi="Times New Roman" w:cs="Times New Roman"/>
            <w:u w:val="single"/>
          </w:rPr>
          <w:t>30-34</w:t>
        </w:r>
      </w:hyperlink>
      <w:r w:rsidRPr="00CE50D8">
        <w:rPr>
          <w:rFonts w:ascii="Times New Roman" w:eastAsia="Times New Roman" w:hAnsi="Times New Roman" w:cs="Times New Roman"/>
        </w:rPr>
        <w:t xml:space="preserve">]. Notably, there is another enzyme that hydrolyses acetylcholine, butyrylcholinesterase (BuChE). </w:t>
      </w:r>
      <w:r w:rsidR="00393815" w:rsidRPr="00CE50D8">
        <w:rPr>
          <w:rFonts w:ascii="Times New Roman" w:eastAsia="Times New Roman" w:hAnsi="Times New Roman" w:cs="Times New Roman"/>
        </w:rPr>
        <w:t>The a</w:t>
      </w:r>
      <w:r w:rsidRPr="00CE50D8">
        <w:rPr>
          <w:rFonts w:ascii="Times New Roman" w:eastAsia="Times New Roman" w:hAnsi="Times New Roman" w:cs="Times New Roman"/>
        </w:rPr>
        <w:t>ctivity of AChE decreases with the progression of AD pathogenesis[</w:t>
      </w:r>
      <w:hyperlink w:anchor="_heading=h.2grqrue">
        <w:r w:rsidRPr="00CE50D8">
          <w:rPr>
            <w:rFonts w:ascii="Times New Roman" w:eastAsia="Times New Roman" w:hAnsi="Times New Roman" w:cs="Times New Roman"/>
            <w:u w:val="single"/>
          </w:rPr>
          <w:t>35</w:t>
        </w:r>
      </w:hyperlink>
      <w:r w:rsidRPr="00CE50D8">
        <w:rPr>
          <w:rFonts w:ascii="Times New Roman" w:eastAsia="Times New Roman" w:hAnsi="Times New Roman" w:cs="Times New Roman"/>
        </w:rPr>
        <w:t>] while BChE activity progressively increases with disease progression.[</w:t>
      </w:r>
      <w:hyperlink w:anchor="_heading=h.vx1227">
        <w:r w:rsidRPr="00CE50D8">
          <w:rPr>
            <w:rFonts w:ascii="Times New Roman" w:eastAsia="Times New Roman" w:hAnsi="Times New Roman" w:cs="Times New Roman"/>
            <w:u w:val="single"/>
          </w:rPr>
          <w:t>36</w:t>
        </w:r>
      </w:hyperlink>
      <w:r w:rsidRPr="00CE50D8">
        <w:rPr>
          <w:rFonts w:ascii="Times New Roman" w:eastAsia="Times New Roman" w:hAnsi="Times New Roman" w:cs="Times New Roman"/>
        </w:rPr>
        <w:t xml:space="preserve">] This marked difference in their activity makes AChE a prime target for the treatment of early AD. However, in </w:t>
      </w:r>
      <w:r w:rsidR="00393815"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 xml:space="preserve">advanced stage of AD, inhibition of BChE should provide a sustainable treatment. </w:t>
      </w:r>
      <w:r w:rsidR="00393815" w:rsidRPr="00CE50D8">
        <w:rPr>
          <w:rFonts w:ascii="Times New Roman" w:eastAsia="Times New Roman" w:hAnsi="Times New Roman" w:cs="Times New Roman"/>
        </w:rPr>
        <w:t>M</w:t>
      </w:r>
      <w:r w:rsidRPr="00CE50D8">
        <w:rPr>
          <w:rFonts w:ascii="Times New Roman" w:eastAsia="Times New Roman" w:hAnsi="Times New Roman" w:cs="Times New Roman"/>
        </w:rPr>
        <w:t>ost of the currently FDA approved drugs for AD therapy are AChE inhibitors (AChEIs) [</w:t>
      </w:r>
      <w:hyperlink w:anchor="_heading=h.1hmsyys">
        <w:r w:rsidRPr="00CE50D8">
          <w:rPr>
            <w:rFonts w:ascii="Times New Roman" w:eastAsia="Times New Roman" w:hAnsi="Times New Roman" w:cs="Times New Roman"/>
            <w:u w:val="single"/>
          </w:rPr>
          <w:t>33</w:t>
        </w:r>
      </w:hyperlink>
      <w:r w:rsidRPr="00CE50D8">
        <w:rPr>
          <w:rFonts w:ascii="Times New Roman" w:eastAsia="Times New Roman" w:hAnsi="Times New Roman" w:cs="Times New Roman"/>
        </w:rPr>
        <w:t>]. Donepezil, rivastigmine, and galantamine are clinically approved for palliative treatment in mild and moderate AD. However</w:t>
      </w:r>
      <w:r w:rsidR="00393815" w:rsidRPr="00CE50D8">
        <w:rPr>
          <w:rFonts w:ascii="Times New Roman" w:eastAsia="Times New Roman" w:hAnsi="Times New Roman" w:cs="Times New Roman"/>
        </w:rPr>
        <w:t>,</w:t>
      </w:r>
      <w:r w:rsidRPr="00CE50D8">
        <w:rPr>
          <w:rFonts w:ascii="Times New Roman" w:eastAsia="Times New Roman" w:hAnsi="Times New Roman" w:cs="Times New Roman"/>
        </w:rPr>
        <w:t xml:space="preserve"> all these FDA approved drugs are clinically limited due to their low selectivity, bioavailability</w:t>
      </w:r>
      <w:r w:rsidR="00393815" w:rsidRPr="00CE50D8">
        <w:rPr>
          <w:rFonts w:ascii="Times New Roman" w:eastAsia="Times New Roman" w:hAnsi="Times New Roman" w:cs="Times New Roman"/>
        </w:rPr>
        <w:t>,</w:t>
      </w:r>
      <w:r w:rsidRPr="00CE50D8">
        <w:rPr>
          <w:rFonts w:ascii="Times New Roman" w:eastAsia="Times New Roman" w:hAnsi="Times New Roman" w:cs="Times New Roman"/>
        </w:rPr>
        <w:t xml:space="preserve"> and also associated with moderate to severe side effects [</w:t>
      </w:r>
      <w:hyperlink w:anchor="_heading=h.3fwokq0">
        <w:r w:rsidRPr="00CE50D8">
          <w:rPr>
            <w:rFonts w:ascii="Times New Roman" w:eastAsia="Times New Roman" w:hAnsi="Times New Roman" w:cs="Times New Roman"/>
            <w:u w:val="single"/>
          </w:rPr>
          <w:t>37</w:t>
        </w:r>
      </w:hyperlink>
      <w:r w:rsidRPr="00CE50D8">
        <w:rPr>
          <w:rFonts w:ascii="Times New Roman" w:eastAsia="Times New Roman" w:hAnsi="Times New Roman" w:cs="Times New Roman"/>
        </w:rPr>
        <w:t>]. Reports of gastrointestinal anomalies and bradycardia are commonly associated with donepezil treatment,[</w:t>
      </w:r>
      <w:hyperlink w:anchor="_heading=h.1v1yuxt">
        <w:r w:rsidRPr="00CE50D8">
          <w:rPr>
            <w:rFonts w:ascii="Times New Roman" w:eastAsia="Times New Roman" w:hAnsi="Times New Roman" w:cs="Times New Roman"/>
            <w:u w:val="single"/>
          </w:rPr>
          <w:t>38</w:t>
        </w:r>
      </w:hyperlink>
      <w:r w:rsidRPr="00CE50D8">
        <w:rPr>
          <w:rFonts w:ascii="Times New Roman" w:eastAsia="Times New Roman" w:hAnsi="Times New Roman" w:cs="Times New Roman"/>
        </w:rPr>
        <w:t>] whereas gastrointestinal side effects are also associated with both rivastigmine and galantamine treatment [</w:t>
      </w:r>
      <w:hyperlink w:anchor="_heading=h.3fwokq0">
        <w:r w:rsidRPr="00CE50D8">
          <w:rPr>
            <w:rFonts w:ascii="Times New Roman" w:eastAsia="Times New Roman" w:hAnsi="Times New Roman" w:cs="Times New Roman"/>
            <w:u w:val="single"/>
          </w:rPr>
          <w:t>37</w:t>
        </w:r>
      </w:hyperlink>
      <w:r w:rsidRPr="00CE50D8">
        <w:rPr>
          <w:rFonts w:ascii="Times New Roman" w:eastAsia="Times New Roman" w:hAnsi="Times New Roman" w:cs="Times New Roman"/>
        </w:rPr>
        <w:t xml:space="preserve">]. Therefore, </w:t>
      </w:r>
      <w:r w:rsidR="00393815"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identification of novel safe and selective AChE inhibitors is an active research area. Several synthetic [</w:t>
      </w:r>
      <w:hyperlink w:anchor="_heading=h.4f1mdlm">
        <w:r w:rsidRPr="00CE50D8">
          <w:rPr>
            <w:rFonts w:ascii="Times New Roman" w:eastAsia="Times New Roman" w:hAnsi="Times New Roman" w:cs="Times New Roman"/>
            <w:u w:val="single"/>
          </w:rPr>
          <w:t>39</w:t>
        </w:r>
      </w:hyperlink>
      <w:r w:rsidRPr="00CE50D8">
        <w:rPr>
          <w:rFonts w:ascii="Times New Roman" w:eastAsia="Times New Roman" w:hAnsi="Times New Roman" w:cs="Times New Roman"/>
        </w:rPr>
        <w:t>] and natural compounds have been shown to inhibit AChE [</w:t>
      </w:r>
      <w:hyperlink w:anchor="_heading=h.2u6wntf">
        <w:r w:rsidRPr="00CE50D8">
          <w:rPr>
            <w:rFonts w:ascii="Times New Roman" w:eastAsia="Times New Roman" w:hAnsi="Times New Roman" w:cs="Times New Roman"/>
            <w:u w:val="single"/>
          </w:rPr>
          <w:t>40-43</w:t>
        </w:r>
      </w:hyperlink>
      <w:r w:rsidRPr="00CE50D8">
        <w:rPr>
          <w:rFonts w:ascii="Times New Roman" w:eastAsia="Times New Roman" w:hAnsi="Times New Roman" w:cs="Times New Roman"/>
        </w:rPr>
        <w:t>], however</w:t>
      </w:r>
      <w:r w:rsidR="00393815" w:rsidRPr="00CE50D8">
        <w:rPr>
          <w:rFonts w:ascii="Times New Roman" w:eastAsia="Times New Roman" w:hAnsi="Times New Roman" w:cs="Times New Roman"/>
        </w:rPr>
        <w:t>,</w:t>
      </w:r>
      <w:r w:rsidRPr="00CE50D8">
        <w:rPr>
          <w:rFonts w:ascii="Times New Roman" w:eastAsia="Times New Roman" w:hAnsi="Times New Roman" w:cs="Times New Roman"/>
        </w:rPr>
        <w:t xml:space="preserve"> receptor promiscuity severely hinders their applicability as drugs. Several pyridine derivatives [</w:t>
      </w:r>
      <w:hyperlink w:anchor="_heading=h.nmf14n">
        <w:r w:rsidRPr="00CE50D8">
          <w:rPr>
            <w:rFonts w:ascii="Times New Roman" w:eastAsia="Times New Roman" w:hAnsi="Times New Roman" w:cs="Times New Roman"/>
            <w:u w:val="single"/>
          </w:rPr>
          <w:t>44-46</w:t>
        </w:r>
      </w:hyperlink>
      <w:r w:rsidRPr="00CE50D8">
        <w:rPr>
          <w:rFonts w:ascii="Times New Roman" w:eastAsia="Times New Roman" w:hAnsi="Times New Roman" w:cs="Times New Roman"/>
        </w:rPr>
        <w:t xml:space="preserve">] (Tacrine and 7-methoxytacrine) </w:t>
      </w:r>
      <w:r w:rsidRPr="00CE50D8">
        <w:rPr>
          <w:rFonts w:ascii="Times New Roman" w:eastAsia="Times New Roman" w:hAnsi="Times New Roman" w:cs="Times New Roman"/>
        </w:rPr>
        <w:lastRenderedPageBreak/>
        <w:t>also exhibit reversible AChE inhibition ability. Organophosphate group</w:t>
      </w:r>
      <w:r w:rsidR="00393815" w:rsidRPr="00CE50D8">
        <w:rPr>
          <w:rFonts w:ascii="Times New Roman" w:eastAsia="Times New Roman" w:hAnsi="Times New Roman" w:cs="Times New Roman"/>
        </w:rPr>
        <w:t>s</w:t>
      </w:r>
      <w:r w:rsidRPr="00CE50D8">
        <w:rPr>
          <w:rFonts w:ascii="Times New Roman" w:eastAsia="Times New Roman" w:hAnsi="Times New Roman" w:cs="Times New Roman"/>
        </w:rPr>
        <w:t xml:space="preserve"> of compounds [</w:t>
      </w:r>
      <w:hyperlink w:anchor="_heading=h.3fwokq0">
        <w:r w:rsidRPr="00CE50D8">
          <w:rPr>
            <w:rFonts w:ascii="Times New Roman" w:eastAsia="Times New Roman" w:hAnsi="Times New Roman" w:cs="Times New Roman"/>
            <w:u w:val="single"/>
          </w:rPr>
          <w:t>37</w:t>
        </w:r>
      </w:hyperlink>
      <w:r w:rsidRPr="00CE50D8">
        <w:rPr>
          <w:rFonts w:ascii="Times New Roman" w:eastAsia="Times New Roman" w:hAnsi="Times New Roman" w:cs="Times New Roman"/>
        </w:rPr>
        <w:t xml:space="preserve">, </w:t>
      </w:r>
      <w:hyperlink w:anchor="_heading=h.46r0co2">
        <w:r w:rsidRPr="00CE50D8">
          <w:rPr>
            <w:rFonts w:ascii="Times New Roman" w:eastAsia="Times New Roman" w:hAnsi="Times New Roman" w:cs="Times New Roman"/>
            <w:u w:val="single"/>
          </w:rPr>
          <w:t>47</w:t>
        </w:r>
      </w:hyperlink>
      <w:r w:rsidRPr="00CE50D8">
        <w:rPr>
          <w:rFonts w:ascii="Times New Roman" w:eastAsia="Times New Roman" w:hAnsi="Times New Roman" w:cs="Times New Roman"/>
        </w:rPr>
        <w:t xml:space="preserve">] (Ethyl parathion, </w:t>
      </w:r>
      <w:r w:rsidR="00393815" w:rsidRPr="00CE50D8">
        <w:rPr>
          <w:rFonts w:ascii="Times New Roman" w:eastAsia="Times New Roman" w:hAnsi="Times New Roman" w:cs="Times New Roman"/>
        </w:rPr>
        <w:t>M</w:t>
      </w:r>
      <w:r w:rsidRPr="00CE50D8">
        <w:rPr>
          <w:rFonts w:ascii="Times New Roman" w:eastAsia="Times New Roman" w:hAnsi="Times New Roman" w:cs="Times New Roman"/>
        </w:rPr>
        <w:t xml:space="preserve">alathion, </w:t>
      </w:r>
      <w:r w:rsidR="00393815" w:rsidRPr="00CE50D8">
        <w:rPr>
          <w:rFonts w:ascii="Times New Roman" w:eastAsia="Times New Roman" w:hAnsi="Times New Roman" w:cs="Times New Roman"/>
        </w:rPr>
        <w:t>P</w:t>
      </w:r>
      <w:r w:rsidRPr="00CE50D8">
        <w:rPr>
          <w:rFonts w:ascii="Times New Roman" w:eastAsia="Times New Roman" w:hAnsi="Times New Roman" w:cs="Times New Roman"/>
        </w:rPr>
        <w:t xml:space="preserve">hosmet, Tabun, </w:t>
      </w:r>
      <w:r w:rsidR="00393815" w:rsidRPr="00CE50D8">
        <w:rPr>
          <w:rFonts w:ascii="Times New Roman" w:eastAsia="Times New Roman" w:hAnsi="Times New Roman" w:cs="Times New Roman"/>
        </w:rPr>
        <w:t>S</w:t>
      </w:r>
      <w:r w:rsidRPr="00CE50D8">
        <w:rPr>
          <w:rFonts w:ascii="Times New Roman" w:eastAsia="Times New Roman" w:hAnsi="Times New Roman" w:cs="Times New Roman"/>
        </w:rPr>
        <w:t>arin</w:t>
      </w:r>
      <w:r w:rsidR="00393815" w:rsidRPr="00CE50D8">
        <w:rPr>
          <w:rFonts w:ascii="Times New Roman" w:eastAsia="Times New Roman" w:hAnsi="Times New Roman" w:cs="Times New Roman"/>
        </w:rPr>
        <w:t>,</w:t>
      </w:r>
      <w:r w:rsidRPr="00CE50D8">
        <w:rPr>
          <w:rFonts w:ascii="Times New Roman" w:eastAsia="Times New Roman" w:hAnsi="Times New Roman" w:cs="Times New Roman"/>
        </w:rPr>
        <w:t xml:space="preserve"> and many more) on the other hand act as irreversible AChEIs. They are mostly used as insecticide and nerve agents. However,  severe toxicity associated with the organophosphates which occasionally lead to death, impede their clinical applications in AD.[</w:t>
      </w:r>
      <w:hyperlink w:anchor="_heading=h.2lwamvv">
        <w:r w:rsidRPr="00CE50D8">
          <w:rPr>
            <w:rFonts w:ascii="Times New Roman" w:eastAsia="Times New Roman" w:hAnsi="Times New Roman" w:cs="Times New Roman"/>
            <w:u w:val="single"/>
          </w:rPr>
          <w:t>48-50</w:t>
        </w:r>
      </w:hyperlink>
      <w:r w:rsidRPr="00CE50D8">
        <w:rPr>
          <w:rFonts w:ascii="Times New Roman" w:eastAsia="Times New Roman" w:hAnsi="Times New Roman" w:cs="Times New Roman"/>
        </w:rPr>
        <w:t>] Thus exploration of new chemical scaffolds with reduced toxicity is still an active area of research. Recently, astaxanthin-s-allyl cysteine[</w:t>
      </w:r>
      <w:hyperlink w:anchor="_heading=h.206ipza">
        <w:r w:rsidRPr="00CE50D8">
          <w:rPr>
            <w:rFonts w:ascii="Times New Roman" w:eastAsia="Times New Roman" w:hAnsi="Times New Roman" w:cs="Times New Roman"/>
            <w:u w:val="single"/>
          </w:rPr>
          <w:t>51</w:t>
        </w:r>
      </w:hyperlink>
      <w:r w:rsidRPr="00CE50D8">
        <w:rPr>
          <w:rFonts w:ascii="Times New Roman" w:eastAsia="Times New Roman" w:hAnsi="Times New Roman" w:cs="Times New Roman"/>
        </w:rPr>
        <w:t>], sampangine derivative [</w:t>
      </w:r>
      <w:hyperlink w:anchor="_heading=h.4k668n3">
        <w:r w:rsidRPr="00CE50D8">
          <w:rPr>
            <w:rFonts w:ascii="Times New Roman" w:eastAsia="Times New Roman" w:hAnsi="Times New Roman" w:cs="Times New Roman"/>
            <w:u w:val="single"/>
          </w:rPr>
          <w:t>52</w:t>
        </w:r>
      </w:hyperlink>
      <w:r w:rsidRPr="00CE50D8">
        <w:rPr>
          <w:rFonts w:ascii="Times New Roman" w:eastAsia="Times New Roman" w:hAnsi="Times New Roman" w:cs="Times New Roman"/>
        </w:rPr>
        <w:t xml:space="preserve">], </w:t>
      </w:r>
      <w:r w:rsidR="00393815" w:rsidRPr="00CE50D8">
        <w:rPr>
          <w:rFonts w:ascii="Times New Roman" w:eastAsia="Times New Roman" w:hAnsi="Times New Roman" w:cs="Times New Roman"/>
        </w:rPr>
        <w:t>e</w:t>
      </w:r>
      <w:r w:rsidRPr="00CE50D8">
        <w:rPr>
          <w:rFonts w:ascii="Times New Roman" w:eastAsia="Times New Roman" w:hAnsi="Times New Roman" w:cs="Times New Roman"/>
        </w:rPr>
        <w:t>ugenol derivatives [</w:t>
      </w:r>
      <w:hyperlink w:anchor="_heading=h.2zbgiuw">
        <w:r w:rsidRPr="00CE50D8">
          <w:rPr>
            <w:rFonts w:ascii="Times New Roman" w:eastAsia="Times New Roman" w:hAnsi="Times New Roman" w:cs="Times New Roman"/>
            <w:u w:val="single"/>
          </w:rPr>
          <w:t>53</w:t>
        </w:r>
      </w:hyperlink>
      <w:r w:rsidRPr="00CE50D8">
        <w:rPr>
          <w:rFonts w:ascii="Times New Roman" w:eastAsia="Times New Roman" w:hAnsi="Times New Roman" w:cs="Times New Roman"/>
        </w:rPr>
        <w:t>], acridine-coumarin hybrids[</w:t>
      </w:r>
      <w:hyperlink w:anchor="_heading=h.1egqt2p">
        <w:r w:rsidRPr="00CE50D8">
          <w:rPr>
            <w:rFonts w:ascii="Times New Roman" w:eastAsia="Times New Roman" w:hAnsi="Times New Roman" w:cs="Times New Roman"/>
            <w:u w:val="single"/>
          </w:rPr>
          <w:t>54</w:t>
        </w:r>
      </w:hyperlink>
      <w:r w:rsidRPr="00CE50D8">
        <w:rPr>
          <w:rFonts w:ascii="Times New Roman" w:eastAsia="Times New Roman" w:hAnsi="Times New Roman" w:cs="Times New Roman"/>
        </w:rPr>
        <w:t>] and flavonoids[</w:t>
      </w:r>
      <w:hyperlink w:anchor="_heading=h.2u6wntf">
        <w:r w:rsidRPr="00CE50D8">
          <w:rPr>
            <w:rFonts w:ascii="Times New Roman" w:eastAsia="Times New Roman" w:hAnsi="Times New Roman" w:cs="Times New Roman"/>
            <w:u w:val="single"/>
          </w:rPr>
          <w:t>40</w:t>
        </w:r>
      </w:hyperlink>
      <w:r w:rsidRPr="00CE50D8">
        <w:rPr>
          <w:rFonts w:ascii="Times New Roman" w:eastAsia="Times New Roman" w:hAnsi="Times New Roman" w:cs="Times New Roman"/>
        </w:rPr>
        <w:t xml:space="preserve">, </w:t>
      </w:r>
      <w:hyperlink w:anchor="_heading=h.3ygebqi">
        <w:r w:rsidRPr="00CE50D8">
          <w:rPr>
            <w:rFonts w:ascii="Times New Roman" w:eastAsia="Times New Roman" w:hAnsi="Times New Roman" w:cs="Times New Roman"/>
            <w:u w:val="single"/>
          </w:rPr>
          <w:t>55</w:t>
        </w:r>
      </w:hyperlink>
      <w:r w:rsidRPr="00CE50D8">
        <w:rPr>
          <w:rFonts w:ascii="Times New Roman" w:eastAsia="Times New Roman" w:hAnsi="Times New Roman" w:cs="Times New Roman"/>
        </w:rPr>
        <w:t>] have been shown to inhibit cholinesterases. The present work aims to identify novel selective AChEIs using a combination of structure and ligand</w:t>
      </w:r>
      <w:r w:rsidR="0096281C" w:rsidRPr="00CE50D8">
        <w:rPr>
          <w:rFonts w:ascii="Times New Roman" w:eastAsia="Times New Roman" w:hAnsi="Times New Roman" w:cs="Times New Roman"/>
        </w:rPr>
        <w:t>-</w:t>
      </w:r>
      <w:r w:rsidRPr="00CE50D8">
        <w:rPr>
          <w:rFonts w:ascii="Times New Roman" w:eastAsia="Times New Roman" w:hAnsi="Times New Roman" w:cs="Times New Roman"/>
        </w:rPr>
        <w:t xml:space="preserve">based approaches. </w:t>
      </w:r>
    </w:p>
    <w:p w14:paraId="48B695BB" w14:textId="418EB5A6"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 xml:space="preserve">Drug designing using cheminformatics can be classified as either target fishing or structure-based approaches. Target fishing is an approach to discover putative targets for a certain molecule. The efficacy of </w:t>
      </w:r>
      <w:r w:rsidR="00393815"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target fishing approach can be further increased by combining several complementary methods. Pharmacophore modeling and three-dimensional shape similarity methods have been successfully used for the discovery of several bioactive compounds. On the other hand, if a structure of a macromolecule is available either using crystallography, NMR, cryo-EM</w:t>
      </w:r>
      <w:r w:rsidR="00393815" w:rsidRPr="00CE50D8">
        <w:rPr>
          <w:rFonts w:ascii="Times New Roman" w:eastAsia="Times New Roman" w:hAnsi="Times New Roman" w:cs="Times New Roman"/>
        </w:rPr>
        <w:t>,</w:t>
      </w:r>
      <w:r w:rsidRPr="00CE50D8">
        <w:rPr>
          <w:rFonts w:ascii="Times New Roman" w:eastAsia="Times New Roman" w:hAnsi="Times New Roman" w:cs="Times New Roman"/>
        </w:rPr>
        <w:t xml:space="preserve"> or by using homology modeling or threading methods, then structure</w:t>
      </w:r>
      <w:r w:rsidR="0096281C" w:rsidRPr="00CE50D8">
        <w:rPr>
          <w:rFonts w:ascii="Times New Roman" w:eastAsia="Times New Roman" w:hAnsi="Times New Roman" w:cs="Times New Roman"/>
        </w:rPr>
        <w:t>-</w:t>
      </w:r>
      <w:r w:rsidRPr="00CE50D8">
        <w:rPr>
          <w:rFonts w:ascii="Times New Roman" w:eastAsia="Times New Roman" w:hAnsi="Times New Roman" w:cs="Times New Roman"/>
        </w:rPr>
        <w:t xml:space="preserve">based approaches are commonly used to find novel chemical modulators. </w:t>
      </w:r>
      <w:bookmarkStart w:id="2" w:name="_Hlk54297361"/>
      <w:r w:rsidRPr="00CE50D8">
        <w:rPr>
          <w:rFonts w:ascii="Times New Roman" w:eastAsia="Times New Roman" w:hAnsi="Times New Roman" w:cs="Times New Roman"/>
        </w:rPr>
        <w:t>Docking is the most commonly used structure-based method for the prediction of orientation and binding affinity of a molecule to the binding site of a macromolecule</w:t>
      </w:r>
      <w:bookmarkEnd w:id="2"/>
      <w:r w:rsidRPr="00CE50D8">
        <w:rPr>
          <w:rFonts w:ascii="Times New Roman" w:eastAsia="Times New Roman" w:hAnsi="Times New Roman" w:cs="Times New Roman"/>
        </w:rPr>
        <w:t xml:space="preserve">. </w:t>
      </w:r>
    </w:p>
    <w:p w14:paraId="1F9B01D3" w14:textId="0E319EF5"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Transfer of therapeutics from the workbench to market is a slow process and associated with a huge cost. Most of the compounds fail in clinical trials. Drug repurposing is a viable alternative where novel therapeutic indications are identified from existing drugs [</w:t>
      </w:r>
      <w:hyperlink w:anchor="_heading=h.2dlolyb">
        <w:r w:rsidRPr="00CE50D8">
          <w:rPr>
            <w:rFonts w:ascii="Times New Roman" w:eastAsia="Times New Roman" w:hAnsi="Times New Roman" w:cs="Times New Roman"/>
            <w:u w:val="single"/>
          </w:rPr>
          <w:t>56</w:t>
        </w:r>
      </w:hyperlink>
      <w:r w:rsidRPr="00CE50D8">
        <w:rPr>
          <w:rFonts w:ascii="Times New Roman" w:eastAsia="Times New Roman" w:hAnsi="Times New Roman" w:cs="Times New Roman"/>
        </w:rPr>
        <w:t xml:space="preserve">]. Here, using </w:t>
      </w:r>
      <w:r w:rsidR="00393815" w:rsidRPr="00CE50D8">
        <w:rPr>
          <w:rFonts w:ascii="Times New Roman" w:eastAsia="Times New Roman" w:hAnsi="Times New Roman" w:cs="Times New Roman"/>
        </w:rPr>
        <w:t xml:space="preserve">a </w:t>
      </w:r>
      <w:r w:rsidRPr="00CE50D8">
        <w:rPr>
          <w:rFonts w:ascii="Times New Roman" w:eastAsia="Times New Roman" w:hAnsi="Times New Roman" w:cs="Times New Roman"/>
        </w:rPr>
        <w:t>target fishing approach based on 3D shape similarity, pharmacophore modeling</w:t>
      </w:r>
      <w:r w:rsidR="0096281C" w:rsidRPr="00CE50D8">
        <w:rPr>
          <w:rFonts w:ascii="Times New Roman" w:eastAsia="Times New Roman" w:hAnsi="Times New Roman" w:cs="Times New Roman"/>
        </w:rPr>
        <w:t xml:space="preserve"> in</w:t>
      </w:r>
      <w:r w:rsidRPr="00CE50D8">
        <w:rPr>
          <w:rFonts w:ascii="Times New Roman" w:eastAsia="Times New Roman" w:hAnsi="Times New Roman" w:cs="Times New Roman"/>
        </w:rPr>
        <w:t xml:space="preserve"> combin</w:t>
      </w:r>
      <w:r w:rsidR="0096281C" w:rsidRPr="00CE50D8">
        <w:rPr>
          <w:rFonts w:ascii="Times New Roman" w:eastAsia="Times New Roman" w:hAnsi="Times New Roman" w:cs="Times New Roman"/>
        </w:rPr>
        <w:t>ation</w:t>
      </w:r>
      <w:r w:rsidRPr="00CE50D8">
        <w:rPr>
          <w:rFonts w:ascii="Times New Roman" w:eastAsia="Times New Roman" w:hAnsi="Times New Roman" w:cs="Times New Roman"/>
        </w:rPr>
        <w:t xml:space="preserve"> with </w:t>
      </w:r>
      <w:r w:rsidR="0096281C"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 xml:space="preserve">structure-based drug design, we have identified </w:t>
      </w:r>
      <w:r w:rsidR="0096281C" w:rsidRPr="00CE50D8">
        <w:rPr>
          <w:rFonts w:ascii="Times New Roman" w:eastAsia="Times New Roman" w:hAnsi="Times New Roman" w:cs="Times New Roman"/>
        </w:rPr>
        <w:t xml:space="preserve">a </w:t>
      </w:r>
      <w:r w:rsidRPr="00CE50D8">
        <w:rPr>
          <w:rFonts w:ascii="Times New Roman" w:eastAsia="Times New Roman" w:hAnsi="Times New Roman" w:cs="Times New Roman"/>
        </w:rPr>
        <w:t xml:space="preserve">new selective Acetylcholinesterase inhibitory (AChEI) scaffold exhibiting shape similarity to known drugs from the approved drug </w:t>
      </w:r>
      <w:r w:rsidRPr="00CE50D8">
        <w:rPr>
          <w:rFonts w:ascii="Times New Roman" w:eastAsia="Times New Roman" w:hAnsi="Times New Roman" w:cs="Times New Roman"/>
        </w:rPr>
        <w:lastRenderedPageBreak/>
        <w:t>database, Drugbank [</w:t>
      </w:r>
      <w:hyperlink w:anchor="_heading=h.sqyw64">
        <w:r w:rsidRPr="00CE50D8">
          <w:rPr>
            <w:rFonts w:ascii="Times New Roman" w:eastAsia="Times New Roman" w:hAnsi="Times New Roman" w:cs="Times New Roman"/>
            <w:u w:val="single"/>
          </w:rPr>
          <w:t>57</w:t>
        </w:r>
      </w:hyperlink>
      <w:r w:rsidRPr="00CE50D8">
        <w:rPr>
          <w:rFonts w:ascii="Times New Roman" w:eastAsia="Times New Roman" w:hAnsi="Times New Roman" w:cs="Times New Roman"/>
        </w:rPr>
        <w:t xml:space="preserve">, </w:t>
      </w:r>
      <w:hyperlink w:anchor="_heading=h.3cqmetx">
        <w:r w:rsidRPr="00CE50D8">
          <w:rPr>
            <w:rFonts w:ascii="Times New Roman" w:eastAsia="Times New Roman" w:hAnsi="Times New Roman" w:cs="Times New Roman"/>
            <w:u w:val="single"/>
          </w:rPr>
          <w:t>58</w:t>
        </w:r>
      </w:hyperlink>
      <w:r w:rsidRPr="00CE50D8">
        <w:rPr>
          <w:rFonts w:ascii="Times New Roman" w:eastAsia="Times New Roman" w:hAnsi="Times New Roman" w:cs="Times New Roman"/>
        </w:rPr>
        <w:t>]. Novel selective high-affinity AChEIs have been designed using a lead optimization approach for the treatment of Alzheimer's disease (AD).</w:t>
      </w:r>
      <w:r w:rsidR="00454B3A" w:rsidRPr="00CE50D8">
        <w:rPr>
          <w:rFonts w:ascii="Times New Roman" w:eastAsia="Times New Roman" w:hAnsi="Times New Roman" w:cs="Times New Roman"/>
        </w:rPr>
        <w:t xml:space="preserve"> Activities of the identified leads are also validated using </w:t>
      </w:r>
      <w:r w:rsidR="00454B3A" w:rsidRPr="00CE50D8">
        <w:rPr>
          <w:rFonts w:ascii="Times New Roman" w:eastAsia="Times New Roman" w:hAnsi="Times New Roman" w:cs="Times New Roman"/>
          <w:i/>
        </w:rPr>
        <w:t>in vitro</w:t>
      </w:r>
      <w:r w:rsidR="00454B3A" w:rsidRPr="00CE50D8">
        <w:rPr>
          <w:rFonts w:ascii="Times New Roman" w:eastAsia="Times New Roman" w:hAnsi="Times New Roman" w:cs="Times New Roman"/>
        </w:rPr>
        <w:t xml:space="preserve"> bioassays.            </w:t>
      </w:r>
    </w:p>
    <w:p w14:paraId="18A1BBCB" w14:textId="77777777" w:rsidR="00221BA9" w:rsidRPr="00CE50D8" w:rsidRDefault="00221BA9">
      <w:pPr>
        <w:spacing w:line="480" w:lineRule="auto"/>
        <w:jc w:val="both"/>
        <w:rPr>
          <w:rFonts w:ascii="Times New Roman" w:eastAsia="Times New Roman" w:hAnsi="Times New Roman" w:cs="Times New Roman"/>
        </w:rPr>
      </w:pPr>
    </w:p>
    <w:p w14:paraId="0FAE20CF" w14:textId="77777777" w:rsidR="00221BA9" w:rsidRPr="00CE50D8" w:rsidRDefault="001A0A0E">
      <w:pPr>
        <w:spacing w:line="480" w:lineRule="auto"/>
        <w:jc w:val="both"/>
        <w:rPr>
          <w:rFonts w:ascii="Times New Roman" w:eastAsia="Times New Roman" w:hAnsi="Times New Roman" w:cs="Times New Roman"/>
          <w:b/>
        </w:rPr>
      </w:pPr>
      <w:r w:rsidRPr="00CE50D8">
        <w:rPr>
          <w:rFonts w:ascii="Times New Roman" w:eastAsia="Times New Roman" w:hAnsi="Times New Roman" w:cs="Times New Roman"/>
          <w:b/>
        </w:rPr>
        <w:t xml:space="preserve">Materials and Methods </w:t>
      </w:r>
    </w:p>
    <w:p w14:paraId="262D524F" w14:textId="77777777" w:rsidR="00221BA9" w:rsidRPr="00CE50D8" w:rsidRDefault="001A0A0E">
      <w:pPr>
        <w:spacing w:line="480" w:lineRule="auto"/>
        <w:jc w:val="both"/>
        <w:rPr>
          <w:rFonts w:ascii="Times New Roman" w:eastAsia="Times New Roman" w:hAnsi="Times New Roman" w:cs="Times New Roman"/>
          <w:i/>
        </w:rPr>
      </w:pPr>
      <w:r w:rsidRPr="00CE50D8">
        <w:rPr>
          <w:rFonts w:ascii="Times New Roman" w:eastAsia="Times New Roman" w:hAnsi="Times New Roman" w:cs="Times New Roman"/>
          <w:i/>
        </w:rPr>
        <w:t>Structure-Based Virtual Screening</w:t>
      </w:r>
    </w:p>
    <w:p w14:paraId="33BB6183" w14:textId="713DEA87"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The crystal structure of AChE was obtained from the Protein Data Bank with the accession code 1GQR [</w:t>
      </w:r>
      <w:hyperlink w:anchor="_heading=h.1rvwp1q">
        <w:r w:rsidRPr="00CE50D8">
          <w:rPr>
            <w:rFonts w:ascii="Times New Roman" w:eastAsia="Times New Roman" w:hAnsi="Times New Roman" w:cs="Times New Roman"/>
            <w:u w:val="single"/>
          </w:rPr>
          <w:t>59</w:t>
        </w:r>
      </w:hyperlink>
      <w:r w:rsidRPr="00CE50D8">
        <w:rPr>
          <w:rFonts w:ascii="Times New Roman" w:eastAsia="Times New Roman" w:hAnsi="Times New Roman" w:cs="Times New Roman"/>
        </w:rPr>
        <w:t xml:space="preserve">]. </w:t>
      </w:r>
      <w:bookmarkStart w:id="3" w:name="_Hlk54387562"/>
      <w:r w:rsidR="00DC35DA" w:rsidRPr="00CE50D8">
        <w:rPr>
          <w:rFonts w:ascii="Times New Roman" w:eastAsia="Times New Roman" w:hAnsi="Times New Roman" w:cs="Times New Roman"/>
          <w:color w:val="222222"/>
        </w:rPr>
        <w:t xml:space="preserve">It is a complex of AChE from electric ray with an anti-Alzheimer’s drug. Notably, </w:t>
      </w:r>
      <w:r w:rsidR="0042474E" w:rsidRPr="00CE50D8">
        <w:rPr>
          <w:rFonts w:ascii="Times New Roman" w:eastAsia="Times New Roman" w:hAnsi="Times New Roman" w:cs="Times New Roman"/>
          <w:color w:val="222222"/>
        </w:rPr>
        <w:t xml:space="preserve">the </w:t>
      </w:r>
      <w:r w:rsidR="00DC35DA" w:rsidRPr="00CE50D8">
        <w:rPr>
          <w:rFonts w:ascii="Times New Roman" w:eastAsia="Times New Roman" w:hAnsi="Times New Roman" w:cs="Times New Roman"/>
          <w:color w:val="222222"/>
        </w:rPr>
        <w:t>AChE of electric eel is h</w:t>
      </w:r>
      <w:r w:rsidR="0042474E" w:rsidRPr="00CE50D8">
        <w:rPr>
          <w:rFonts w:ascii="Times New Roman" w:eastAsia="Times New Roman" w:hAnsi="Times New Roman" w:cs="Times New Roman"/>
          <w:color w:val="222222"/>
        </w:rPr>
        <w:t xml:space="preserve">ighly similar </w:t>
      </w:r>
      <w:r w:rsidR="00DC35DA" w:rsidRPr="00CE50D8">
        <w:rPr>
          <w:rFonts w:ascii="Times New Roman" w:eastAsia="Times New Roman" w:hAnsi="Times New Roman" w:cs="Times New Roman"/>
          <w:color w:val="222222"/>
        </w:rPr>
        <w:t xml:space="preserve">to the human </w:t>
      </w:r>
      <w:r w:rsidR="0042474E" w:rsidRPr="00CE50D8">
        <w:rPr>
          <w:rFonts w:ascii="Times New Roman" w:eastAsia="Times New Roman" w:hAnsi="Times New Roman" w:cs="Times New Roman"/>
          <w:color w:val="222222"/>
        </w:rPr>
        <w:t xml:space="preserve">AchE both in terms of sequence and structure, particularly </w:t>
      </w:r>
      <w:r w:rsidR="00DC35DA" w:rsidRPr="00CE50D8">
        <w:rPr>
          <w:rFonts w:ascii="Times New Roman" w:eastAsia="Times New Roman" w:hAnsi="Times New Roman" w:cs="Times New Roman"/>
          <w:color w:val="222222"/>
        </w:rPr>
        <w:t xml:space="preserve">the binding site is </w:t>
      </w:r>
      <w:r w:rsidR="0042474E" w:rsidRPr="00CE50D8">
        <w:rPr>
          <w:rFonts w:ascii="Times New Roman" w:eastAsia="Times New Roman" w:hAnsi="Times New Roman" w:cs="Times New Roman"/>
          <w:color w:val="222222"/>
        </w:rPr>
        <w:t xml:space="preserve">the </w:t>
      </w:r>
      <w:r w:rsidR="00DC35DA" w:rsidRPr="00CE50D8">
        <w:rPr>
          <w:rFonts w:ascii="Times New Roman" w:eastAsia="Times New Roman" w:hAnsi="Times New Roman" w:cs="Times New Roman"/>
          <w:color w:val="222222"/>
        </w:rPr>
        <w:t>same between human and electric ray AChE.</w:t>
      </w:r>
      <w:bookmarkEnd w:id="3"/>
      <w:r w:rsidR="00DC35DA" w:rsidRPr="00CE50D8">
        <w:rPr>
          <w:rFonts w:ascii="Times New Roman" w:eastAsia="Times New Roman" w:hAnsi="Times New Roman" w:cs="Times New Roman"/>
          <w:color w:val="222222"/>
        </w:rPr>
        <w:t xml:space="preserve"> </w:t>
      </w:r>
      <w:r w:rsidRPr="00CE50D8">
        <w:rPr>
          <w:rFonts w:ascii="Times New Roman" w:eastAsia="Times New Roman" w:hAnsi="Times New Roman" w:cs="Times New Roman"/>
        </w:rPr>
        <w:t>The protonation state of the enzyme was predicted using Pro</w:t>
      </w:r>
      <w:r w:rsidR="00352A7C" w:rsidRPr="00CE50D8">
        <w:rPr>
          <w:rFonts w:ascii="Times New Roman" w:eastAsia="Times New Roman" w:hAnsi="Times New Roman" w:cs="Times New Roman"/>
        </w:rPr>
        <w:t>t</w:t>
      </w:r>
      <w:r w:rsidRPr="00CE50D8">
        <w:rPr>
          <w:rFonts w:ascii="Times New Roman" w:eastAsia="Times New Roman" w:hAnsi="Times New Roman" w:cs="Times New Roman"/>
        </w:rPr>
        <w:t>oss [</w:t>
      </w:r>
      <w:hyperlink w:anchor="_heading=h.4bvk7pj">
        <w:r w:rsidRPr="00CE50D8">
          <w:rPr>
            <w:rFonts w:ascii="Times New Roman" w:eastAsia="Times New Roman" w:hAnsi="Times New Roman" w:cs="Times New Roman"/>
            <w:u w:val="single"/>
          </w:rPr>
          <w:t>60</w:t>
        </w:r>
      </w:hyperlink>
      <w:r w:rsidRPr="00CE50D8">
        <w:rPr>
          <w:rFonts w:ascii="Times New Roman" w:eastAsia="Times New Roman" w:hAnsi="Times New Roman" w:cs="Times New Roman"/>
        </w:rPr>
        <w:t>]. All heteroatoms were removed from the crystal structure using Pymol. Dock prep tool available from the Chimera v1.11.2 [</w:t>
      </w:r>
      <w:hyperlink w:anchor="_heading=h.2r0uhxc">
        <w:r w:rsidRPr="00CE50D8">
          <w:rPr>
            <w:rFonts w:ascii="Times New Roman" w:eastAsia="Times New Roman" w:hAnsi="Times New Roman" w:cs="Times New Roman"/>
            <w:u w:val="single"/>
          </w:rPr>
          <w:t>61</w:t>
        </w:r>
      </w:hyperlink>
      <w:r w:rsidRPr="00CE50D8">
        <w:rPr>
          <w:rFonts w:ascii="Times New Roman" w:eastAsia="Times New Roman" w:hAnsi="Times New Roman" w:cs="Times New Roman"/>
        </w:rPr>
        <w:t xml:space="preserve">] was used to prepare the receptor for docking by adding partial charges using </w:t>
      </w:r>
      <w:r w:rsidR="0042474E"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default parameters. Docking simulation was performed with Leadfinder v1.1.20 [</w:t>
      </w:r>
      <w:hyperlink w:anchor="_heading=h.1664s55">
        <w:r w:rsidRPr="00CE50D8">
          <w:rPr>
            <w:rFonts w:ascii="Times New Roman" w:eastAsia="Times New Roman" w:hAnsi="Times New Roman" w:cs="Times New Roman"/>
            <w:u w:val="single"/>
          </w:rPr>
          <w:t>62-64</w:t>
        </w:r>
      </w:hyperlink>
      <w:r w:rsidRPr="00CE50D8">
        <w:rPr>
          <w:rFonts w:ascii="Times New Roman" w:eastAsia="Times New Roman" w:hAnsi="Times New Roman" w:cs="Times New Roman"/>
        </w:rPr>
        <w:t>]. Leadfinder is an efficient docking algorithm that combines genetic algorithm with an effective local optimization procedure during the docking process. Three highly</w:t>
      </w:r>
      <w:r w:rsidR="0042474E" w:rsidRPr="00CE50D8">
        <w:rPr>
          <w:rFonts w:ascii="Times New Roman" w:eastAsia="Times New Roman" w:hAnsi="Times New Roman" w:cs="Times New Roman"/>
        </w:rPr>
        <w:t>-</w:t>
      </w:r>
      <w:r w:rsidRPr="00CE50D8">
        <w:rPr>
          <w:rFonts w:ascii="Times New Roman" w:eastAsia="Times New Roman" w:hAnsi="Times New Roman" w:cs="Times New Roman"/>
        </w:rPr>
        <w:t>specialized accurate scoring functions have been implemented in the software. The benchmark studies show its ability to predict the binding poses as well as binding energies for highly diverse protein-ligand test sets [</w:t>
      </w:r>
      <w:hyperlink w:anchor="_heading=h.1664s55">
        <w:r w:rsidRPr="00CE50D8">
          <w:rPr>
            <w:rFonts w:ascii="Times New Roman" w:eastAsia="Times New Roman" w:hAnsi="Times New Roman" w:cs="Times New Roman"/>
            <w:u w:val="single"/>
          </w:rPr>
          <w:t>62</w:t>
        </w:r>
      </w:hyperlink>
      <w:r w:rsidRPr="00CE50D8">
        <w:rPr>
          <w:rFonts w:ascii="Times New Roman" w:eastAsia="Times New Roman" w:hAnsi="Times New Roman" w:cs="Times New Roman"/>
        </w:rPr>
        <w:t xml:space="preserve">, </w:t>
      </w:r>
      <w:r w:rsidR="004D409A" w:rsidRPr="00CE50D8">
        <w:rPr>
          <w:rFonts w:ascii="Times New Roman" w:eastAsia="Times New Roman" w:hAnsi="Times New Roman" w:cs="Times New Roman"/>
          <w:u w:val="single"/>
        </w:rPr>
        <w:t>64</w:t>
      </w:r>
      <w:r w:rsidRPr="00CE50D8">
        <w:rPr>
          <w:rFonts w:ascii="Times New Roman" w:eastAsia="Times New Roman" w:hAnsi="Times New Roman" w:cs="Times New Roman"/>
        </w:rPr>
        <w:t>]. An energy grid map of 30 Å</w:t>
      </w:r>
      <w:r w:rsidRPr="00CE50D8">
        <w:rPr>
          <w:rFonts w:ascii="Times New Roman" w:eastAsia="Times New Roman" w:hAnsi="Times New Roman" w:cs="Times New Roman"/>
          <w:vertAlign w:val="superscript"/>
        </w:rPr>
        <w:t>3</w:t>
      </w:r>
      <w:r w:rsidRPr="00CE50D8">
        <w:rPr>
          <w:rFonts w:ascii="Times New Roman" w:eastAsia="Times New Roman" w:hAnsi="Times New Roman" w:cs="Times New Roman"/>
        </w:rPr>
        <w:t xml:space="preserve"> was selected and centered on the co-crystalized ligand. The 3D coordinates generation, defining the protonation state, removal of salts</w:t>
      </w:r>
      <w:r w:rsidR="009830A9" w:rsidRPr="00CE50D8">
        <w:rPr>
          <w:rFonts w:ascii="Times New Roman" w:eastAsia="Times New Roman" w:hAnsi="Times New Roman" w:cs="Times New Roman"/>
        </w:rPr>
        <w:t>,</w:t>
      </w:r>
      <w:r w:rsidRPr="00CE50D8">
        <w:rPr>
          <w:rFonts w:ascii="Times New Roman" w:eastAsia="Times New Roman" w:hAnsi="Times New Roman" w:cs="Times New Roman"/>
        </w:rPr>
        <w:t xml:space="preserve"> and partial charge assignments were carried out for the compound library available from Villapharma using the MolConverter with 3D fine parameters</w:t>
      </w:r>
      <w:r w:rsidR="0042474E" w:rsidRPr="00CE50D8">
        <w:rPr>
          <w:rFonts w:ascii="Times New Roman" w:eastAsia="Times New Roman" w:hAnsi="Times New Roman" w:cs="Times New Roman"/>
        </w:rPr>
        <w:t>,</w:t>
      </w:r>
      <w:r w:rsidRPr="00CE50D8">
        <w:rPr>
          <w:rFonts w:ascii="Times New Roman" w:eastAsia="Times New Roman" w:hAnsi="Times New Roman" w:cs="Times New Roman"/>
        </w:rPr>
        <w:t xml:space="preserve"> and other parameters were kept by default. Post-processing of docking poses was performed by using the Ligandscout v4.1.10 [</w:t>
      </w:r>
      <w:hyperlink w:anchor="_heading=h.kgcv8k">
        <w:r w:rsidRPr="00CE50D8">
          <w:rPr>
            <w:rFonts w:ascii="Times New Roman" w:eastAsia="Times New Roman" w:hAnsi="Times New Roman" w:cs="Times New Roman"/>
            <w:u w:val="single"/>
          </w:rPr>
          <w:t>65</w:t>
        </w:r>
      </w:hyperlink>
      <w:r w:rsidRPr="00CE50D8">
        <w:rPr>
          <w:rFonts w:ascii="Times New Roman" w:eastAsia="Times New Roman" w:hAnsi="Times New Roman" w:cs="Times New Roman"/>
        </w:rPr>
        <w:t>] using a developed pharmacophore model based on the binding pose of rivastigmine in the crystal structure, 1GQR.</w:t>
      </w:r>
    </w:p>
    <w:p w14:paraId="3698BD00" w14:textId="77777777" w:rsidR="00221BA9" w:rsidRPr="00CE50D8" w:rsidRDefault="00221BA9">
      <w:pPr>
        <w:spacing w:line="480" w:lineRule="auto"/>
        <w:jc w:val="both"/>
        <w:rPr>
          <w:rFonts w:ascii="Times New Roman" w:eastAsia="Times New Roman" w:hAnsi="Times New Roman" w:cs="Times New Roman"/>
          <w:i/>
        </w:rPr>
      </w:pPr>
    </w:p>
    <w:p w14:paraId="1C977DBF" w14:textId="77777777" w:rsidR="00221BA9" w:rsidRPr="00CE50D8" w:rsidRDefault="001A0A0E">
      <w:pPr>
        <w:spacing w:line="480" w:lineRule="auto"/>
        <w:jc w:val="both"/>
        <w:rPr>
          <w:rFonts w:ascii="Times New Roman" w:eastAsia="Times New Roman" w:hAnsi="Times New Roman" w:cs="Times New Roman"/>
          <w:i/>
        </w:rPr>
      </w:pPr>
      <w:r w:rsidRPr="00CE50D8">
        <w:rPr>
          <w:rFonts w:ascii="Times New Roman" w:eastAsia="Times New Roman" w:hAnsi="Times New Roman" w:cs="Times New Roman"/>
          <w:i/>
        </w:rPr>
        <w:t>Ligand Based Virtual Screening</w:t>
      </w:r>
    </w:p>
    <w:p w14:paraId="7ABFCC91" w14:textId="3870164A"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The 3D shape similarity calculations were carried out using WEGA v2015 [</w:t>
      </w:r>
      <w:hyperlink w:anchor="_heading=h.34g0dwd">
        <w:r w:rsidRPr="00CE50D8">
          <w:rPr>
            <w:rFonts w:ascii="Times New Roman" w:eastAsia="Times New Roman" w:hAnsi="Times New Roman" w:cs="Times New Roman"/>
            <w:u w:val="single"/>
          </w:rPr>
          <w:t>66</w:t>
        </w:r>
      </w:hyperlink>
      <w:r w:rsidRPr="00CE50D8">
        <w:rPr>
          <w:rFonts w:ascii="Times New Roman" w:eastAsia="Times New Roman" w:hAnsi="Times New Roman" w:cs="Times New Roman"/>
        </w:rPr>
        <w:t xml:space="preserve">] with pure shape as a parameter. 3D coordinate generation, salt removal, and assignments of partial charges for each compound of the library were carried out using the same protocol as mentioned above. For every compound, a pool </w:t>
      </w:r>
      <w:r w:rsidR="0042474E" w:rsidRPr="00CE50D8">
        <w:rPr>
          <w:rFonts w:ascii="Times New Roman" w:eastAsia="Times New Roman" w:hAnsi="Times New Roman" w:cs="Times New Roman"/>
        </w:rPr>
        <w:t xml:space="preserve">of </w:t>
      </w:r>
      <w:r w:rsidRPr="00CE50D8">
        <w:rPr>
          <w:rFonts w:ascii="Times New Roman" w:eastAsia="Times New Roman" w:hAnsi="Times New Roman" w:cs="Times New Roman"/>
        </w:rPr>
        <w:t>up to 100 conformations was generated by using Cyndi with default parameters</w:t>
      </w:r>
      <w:r w:rsidR="0042474E" w:rsidRPr="00CE50D8">
        <w:rPr>
          <w:rFonts w:ascii="Times New Roman" w:eastAsia="Times New Roman" w:hAnsi="Times New Roman" w:cs="Times New Roman"/>
        </w:rPr>
        <w:t>. T</w:t>
      </w:r>
      <w:r w:rsidR="009830A9" w:rsidRPr="00CE50D8">
        <w:rPr>
          <w:rFonts w:ascii="Times New Roman" w:eastAsia="Times New Roman" w:hAnsi="Times New Roman" w:cs="Times New Roman"/>
        </w:rPr>
        <w:t xml:space="preserve">he </w:t>
      </w:r>
      <w:r w:rsidRPr="00CE50D8">
        <w:rPr>
          <w:rFonts w:ascii="Times New Roman" w:eastAsia="Times New Roman" w:hAnsi="Times New Roman" w:cs="Times New Roman"/>
        </w:rPr>
        <w:t>MMFF94 force field was used for partial charge calculations.</w:t>
      </w:r>
    </w:p>
    <w:p w14:paraId="2B17E21E" w14:textId="71914B42"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A pharmacophore model was then built for every compound labeled as approved in DrugBank [</w:t>
      </w:r>
      <w:hyperlink w:anchor="_heading=h.3cqmetx">
        <w:r w:rsidRPr="00CE50D8">
          <w:rPr>
            <w:rFonts w:ascii="Times New Roman" w:eastAsia="Times New Roman" w:hAnsi="Times New Roman" w:cs="Times New Roman"/>
            <w:u w:val="single"/>
          </w:rPr>
          <w:t>58</w:t>
        </w:r>
      </w:hyperlink>
      <w:r w:rsidRPr="00CE50D8">
        <w:rPr>
          <w:rFonts w:ascii="Times New Roman" w:eastAsia="Times New Roman" w:hAnsi="Times New Roman" w:cs="Times New Roman"/>
        </w:rPr>
        <w:t xml:space="preserve">] database v4.2 using the espresso tool. For this purpose, two copies of each energy minimized molecule were used as the training set for creating a model using the default parameters. The corporate database was then processed with the idbgen tool for creating up to 500 conformations for each molecule in the dataset by using the built-in omega conformer generator. The screening was performed with </w:t>
      </w:r>
      <w:r w:rsidR="0042474E"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iscreen [</w:t>
      </w:r>
      <w:hyperlink w:anchor="_heading=h.1jlao46">
        <w:r w:rsidRPr="00CE50D8">
          <w:rPr>
            <w:rFonts w:ascii="Times New Roman" w:eastAsia="Times New Roman" w:hAnsi="Times New Roman" w:cs="Times New Roman"/>
            <w:u w:val="single"/>
          </w:rPr>
          <w:t>67</w:t>
        </w:r>
      </w:hyperlink>
      <w:r w:rsidRPr="00CE50D8">
        <w:rPr>
          <w:rFonts w:ascii="Times New Roman" w:eastAsia="Times New Roman" w:hAnsi="Times New Roman" w:cs="Times New Roman"/>
        </w:rPr>
        <w:t>] tool by using the default parameters.</w:t>
      </w:r>
    </w:p>
    <w:p w14:paraId="4E4A7416" w14:textId="77777777" w:rsidR="00221BA9" w:rsidRPr="00CE50D8" w:rsidRDefault="00221BA9">
      <w:pPr>
        <w:spacing w:line="480" w:lineRule="auto"/>
        <w:jc w:val="both"/>
        <w:rPr>
          <w:rFonts w:ascii="Times New Roman" w:eastAsia="Times New Roman" w:hAnsi="Times New Roman" w:cs="Times New Roman"/>
          <w:i/>
        </w:rPr>
      </w:pPr>
    </w:p>
    <w:p w14:paraId="19544C02" w14:textId="77777777" w:rsidR="00221BA9" w:rsidRPr="00CE50D8" w:rsidRDefault="001A0A0E">
      <w:pPr>
        <w:spacing w:line="480" w:lineRule="auto"/>
        <w:jc w:val="both"/>
        <w:rPr>
          <w:rFonts w:ascii="Times New Roman" w:eastAsia="Times New Roman" w:hAnsi="Times New Roman" w:cs="Times New Roman"/>
          <w:i/>
        </w:rPr>
      </w:pPr>
      <w:r w:rsidRPr="00CE50D8">
        <w:rPr>
          <w:rFonts w:ascii="Times New Roman" w:eastAsia="Times New Roman" w:hAnsi="Times New Roman" w:cs="Times New Roman"/>
          <w:i/>
        </w:rPr>
        <w:t>QSAR Analysis</w:t>
      </w:r>
    </w:p>
    <w:p w14:paraId="51F49E4D" w14:textId="7303CEC9"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 xml:space="preserve">We developed a QSAR model based on ISIDA Property Fragment </w:t>
      </w:r>
      <w:r w:rsidR="009830A9" w:rsidRPr="00CE50D8">
        <w:rPr>
          <w:rFonts w:ascii="Times New Roman" w:eastAsia="Times New Roman" w:hAnsi="Times New Roman" w:cs="Times New Roman"/>
        </w:rPr>
        <w:t>D</w:t>
      </w:r>
      <w:r w:rsidRPr="00CE50D8">
        <w:rPr>
          <w:rFonts w:ascii="Times New Roman" w:eastAsia="Times New Roman" w:hAnsi="Times New Roman" w:cs="Times New Roman"/>
        </w:rPr>
        <w:t xml:space="preserve">escriptors (IPLFD) </w:t>
      </w:r>
      <w:sdt>
        <w:sdtPr>
          <w:tag w:val="goog_rdk_1"/>
          <w:id w:val="859551368"/>
        </w:sdtPr>
        <w:sdtContent/>
      </w:sdt>
      <w:r w:rsidRPr="00CE50D8">
        <w:rPr>
          <w:rFonts w:ascii="Times New Roman" w:eastAsia="Times New Roman" w:hAnsi="Times New Roman" w:cs="Times New Roman"/>
        </w:rPr>
        <w:t>[</w:t>
      </w:r>
      <w:hyperlink w:anchor="_heading=h.43ky6rz">
        <w:r w:rsidRPr="00CE50D8">
          <w:rPr>
            <w:rFonts w:ascii="Times New Roman" w:eastAsia="Times New Roman" w:hAnsi="Times New Roman" w:cs="Times New Roman"/>
            <w:u w:val="single"/>
          </w:rPr>
          <w:t>6</w:t>
        </w:r>
      </w:hyperlink>
      <w:r w:rsidR="004D409A" w:rsidRPr="00CE50D8">
        <w:rPr>
          <w:rFonts w:ascii="Times New Roman" w:eastAsia="Times New Roman" w:hAnsi="Times New Roman" w:cs="Times New Roman"/>
        </w:rPr>
        <w:t>8</w:t>
      </w:r>
      <w:r w:rsidRPr="00CE50D8">
        <w:rPr>
          <w:rFonts w:ascii="Times New Roman" w:eastAsia="Times New Roman" w:hAnsi="Times New Roman" w:cs="Times New Roman"/>
        </w:rPr>
        <w:t>] to show the correlation of pharmacophoric properties with the activity.</w:t>
      </w:r>
      <w:r w:rsidR="009830A9" w:rsidRPr="00CE50D8">
        <w:rPr>
          <w:rFonts w:ascii="Times New Roman" w:eastAsia="Times New Roman" w:hAnsi="Times New Roman" w:cs="Times New Roman"/>
        </w:rPr>
        <w:t xml:space="preserve"> </w:t>
      </w:r>
      <w:bookmarkStart w:id="4" w:name="_Hlk54311391"/>
      <w:r w:rsidR="003C0C04" w:rsidRPr="00CE50D8">
        <w:rPr>
          <w:rFonts w:ascii="Times New Roman" w:eastAsia="Times New Roman" w:hAnsi="Times New Roman" w:cs="Times New Roman"/>
        </w:rPr>
        <w:t xml:space="preserve">A total of 12 compounds </w:t>
      </w:r>
      <w:r w:rsidR="00C9249B" w:rsidRPr="00CE50D8">
        <w:rPr>
          <w:rFonts w:ascii="Times New Roman" w:eastAsia="Times New Roman" w:hAnsi="Times New Roman" w:cs="Times New Roman"/>
        </w:rPr>
        <w:t>with IC</w:t>
      </w:r>
      <w:r w:rsidR="00C9249B" w:rsidRPr="00CE50D8">
        <w:rPr>
          <w:rFonts w:ascii="Times New Roman" w:eastAsia="Times New Roman" w:hAnsi="Times New Roman" w:cs="Times New Roman"/>
          <w:vertAlign w:val="subscript"/>
        </w:rPr>
        <w:t>50</w:t>
      </w:r>
      <w:r w:rsidR="00C9249B" w:rsidRPr="00CE50D8">
        <w:rPr>
          <w:rFonts w:ascii="Times New Roman" w:eastAsia="Times New Roman" w:hAnsi="Times New Roman" w:cs="Times New Roman"/>
        </w:rPr>
        <w:t xml:space="preserve"> values in the Molar concentration unit </w:t>
      </w:r>
      <w:r w:rsidR="0042474E" w:rsidRPr="00CE50D8">
        <w:rPr>
          <w:rFonts w:ascii="Times New Roman" w:eastAsia="Times New Roman" w:hAnsi="Times New Roman" w:cs="Times New Roman"/>
        </w:rPr>
        <w:t xml:space="preserve">obtained from the </w:t>
      </w:r>
      <w:r w:rsidR="0042474E" w:rsidRPr="00CE50D8">
        <w:rPr>
          <w:rFonts w:ascii="Times New Roman" w:eastAsia="Times New Roman" w:hAnsi="Times New Roman" w:cs="Times New Roman"/>
          <w:i/>
          <w:iCs/>
        </w:rPr>
        <w:t>in vitro</w:t>
      </w:r>
      <w:r w:rsidR="0042474E" w:rsidRPr="00CE50D8">
        <w:rPr>
          <w:rFonts w:ascii="Times New Roman" w:eastAsia="Times New Roman" w:hAnsi="Times New Roman" w:cs="Times New Roman"/>
        </w:rPr>
        <w:t xml:space="preserve"> bioassay,</w:t>
      </w:r>
      <w:r w:rsidR="00C9249B" w:rsidRPr="00CE50D8">
        <w:rPr>
          <w:rFonts w:ascii="Times New Roman" w:eastAsia="Times New Roman" w:hAnsi="Times New Roman" w:cs="Times New Roman"/>
        </w:rPr>
        <w:t xml:space="preserve"> were used to derive the QSAR. </w:t>
      </w:r>
      <w:r w:rsidRPr="00CE50D8">
        <w:rPr>
          <w:rFonts w:ascii="Times New Roman" w:eastAsia="Times New Roman" w:hAnsi="Times New Roman" w:cs="Times New Roman"/>
        </w:rPr>
        <w:t>pIC</w:t>
      </w:r>
      <w:r w:rsidRPr="00CE50D8">
        <w:rPr>
          <w:rFonts w:ascii="Times New Roman" w:eastAsia="Times New Roman" w:hAnsi="Times New Roman" w:cs="Times New Roman"/>
          <w:vertAlign w:val="subscript"/>
        </w:rPr>
        <w:t>50</w:t>
      </w:r>
      <w:r w:rsidRPr="00CE50D8">
        <w:rPr>
          <w:rFonts w:ascii="Times New Roman" w:eastAsia="Times New Roman" w:hAnsi="Times New Roman" w:cs="Times New Roman"/>
        </w:rPr>
        <w:t xml:space="preserve"> </w:t>
      </w:r>
      <w:r w:rsidR="003C0C04" w:rsidRPr="00CE50D8">
        <w:rPr>
          <w:rFonts w:ascii="Times New Roman" w:eastAsia="Times New Roman" w:hAnsi="Times New Roman" w:cs="Times New Roman"/>
        </w:rPr>
        <w:t>(-log IC</w:t>
      </w:r>
      <w:r w:rsidR="003C0C04" w:rsidRPr="00CE50D8">
        <w:rPr>
          <w:rFonts w:ascii="Times New Roman" w:eastAsia="Times New Roman" w:hAnsi="Times New Roman" w:cs="Times New Roman"/>
          <w:vertAlign w:val="subscript"/>
        </w:rPr>
        <w:t>50</w:t>
      </w:r>
      <w:r w:rsidR="003C0C04" w:rsidRPr="00CE50D8">
        <w:rPr>
          <w:rFonts w:ascii="Times New Roman" w:eastAsia="Times New Roman" w:hAnsi="Times New Roman" w:cs="Times New Roman"/>
        </w:rPr>
        <w:t xml:space="preserve">) </w:t>
      </w:r>
      <w:r w:rsidR="009830A9" w:rsidRPr="00CE50D8">
        <w:rPr>
          <w:rFonts w:ascii="Times New Roman" w:eastAsia="Times New Roman" w:hAnsi="Times New Roman" w:cs="Times New Roman"/>
        </w:rPr>
        <w:t xml:space="preserve">value </w:t>
      </w:r>
      <w:r w:rsidRPr="00CE50D8">
        <w:rPr>
          <w:rFonts w:ascii="Times New Roman" w:eastAsia="Times New Roman" w:hAnsi="Times New Roman" w:cs="Times New Roman"/>
        </w:rPr>
        <w:t xml:space="preserve">was used </w:t>
      </w:r>
      <w:r w:rsidR="009830A9" w:rsidRPr="00CE50D8">
        <w:rPr>
          <w:rFonts w:ascii="Times New Roman" w:eastAsia="Times New Roman" w:hAnsi="Times New Roman" w:cs="Times New Roman"/>
        </w:rPr>
        <w:t xml:space="preserve">as an </w:t>
      </w:r>
      <w:r w:rsidRPr="00CE50D8">
        <w:rPr>
          <w:rFonts w:ascii="Times New Roman" w:eastAsia="Times New Roman" w:hAnsi="Times New Roman" w:cs="Times New Roman"/>
        </w:rPr>
        <w:t>activity value</w:t>
      </w:r>
      <w:r w:rsidR="009830A9" w:rsidRPr="00CE50D8">
        <w:rPr>
          <w:rFonts w:ascii="Times New Roman" w:eastAsia="Times New Roman" w:hAnsi="Times New Roman" w:cs="Times New Roman"/>
        </w:rPr>
        <w:t xml:space="preserve"> for each compound</w:t>
      </w:r>
      <w:r w:rsidRPr="00CE50D8">
        <w:rPr>
          <w:rFonts w:ascii="Times New Roman" w:eastAsia="Times New Roman" w:hAnsi="Times New Roman" w:cs="Times New Roman"/>
        </w:rPr>
        <w:t>.</w:t>
      </w:r>
      <w:bookmarkEnd w:id="4"/>
      <w:r w:rsidRPr="00CE50D8">
        <w:rPr>
          <w:rFonts w:ascii="Times New Roman" w:eastAsia="Times New Roman" w:hAnsi="Times New Roman" w:cs="Times New Roman"/>
        </w:rPr>
        <w:t xml:space="preserve"> An IPLFD was calculated for the </w:t>
      </w:r>
      <w:r w:rsidR="006D4E77" w:rsidRPr="00CE50D8">
        <w:rPr>
          <w:rFonts w:ascii="Times New Roman" w:eastAsia="Times New Roman" w:hAnsi="Times New Roman" w:cs="Times New Roman"/>
        </w:rPr>
        <w:t xml:space="preserve">major molecular species </w:t>
      </w:r>
      <w:r w:rsidRPr="00CE50D8">
        <w:rPr>
          <w:rFonts w:ascii="Times New Roman" w:eastAsia="Times New Roman" w:hAnsi="Times New Roman" w:cs="Times New Roman"/>
        </w:rPr>
        <w:t xml:space="preserve">of each compound at pH=8. Calculator Plugins were used for microspecies prediction and atomic pharmacophoric labels calculation </w:t>
      </w:r>
      <w:r w:rsidR="009830A9" w:rsidRPr="00CE50D8">
        <w:rPr>
          <w:rFonts w:ascii="Times New Roman" w:eastAsia="Times New Roman" w:hAnsi="Times New Roman" w:cs="Times New Roman"/>
        </w:rPr>
        <w:t xml:space="preserve">was carried out </w:t>
      </w:r>
      <w:r w:rsidRPr="00CE50D8">
        <w:rPr>
          <w:rFonts w:ascii="Times New Roman" w:eastAsia="Times New Roman" w:hAnsi="Times New Roman" w:cs="Times New Roman"/>
        </w:rPr>
        <w:t xml:space="preserve">using Marvin 17.8.0, 2017, ChemAxon (http://www.chemaxon.com). Once the model was constructed, these descriptors </w:t>
      </w:r>
      <w:r w:rsidR="009830A9" w:rsidRPr="00CE50D8">
        <w:rPr>
          <w:rFonts w:ascii="Times New Roman" w:eastAsia="Times New Roman" w:hAnsi="Times New Roman" w:cs="Times New Roman"/>
        </w:rPr>
        <w:t>can</w:t>
      </w:r>
      <w:r w:rsidRPr="00CE50D8">
        <w:rPr>
          <w:rFonts w:ascii="Times New Roman" w:eastAsia="Times New Roman" w:hAnsi="Times New Roman" w:cs="Times New Roman"/>
        </w:rPr>
        <w:t xml:space="preserve"> give a molecular contribution to the activity. </w:t>
      </w:r>
      <w:bookmarkStart w:id="5" w:name="_Hlk47459208"/>
      <w:r w:rsidRPr="00CE50D8">
        <w:rPr>
          <w:rFonts w:ascii="Times New Roman" w:eastAsia="Times New Roman" w:hAnsi="Times New Roman" w:cs="Times New Roman"/>
        </w:rPr>
        <w:t xml:space="preserve">A Multilinear regression (MLR) was applied with an </w:t>
      </w:r>
      <w:r w:rsidRPr="00CE50D8">
        <w:rPr>
          <w:rFonts w:ascii="Times New Roman" w:eastAsia="Times New Roman" w:hAnsi="Times New Roman" w:cs="Times New Roman"/>
        </w:rPr>
        <w:lastRenderedPageBreak/>
        <w:t xml:space="preserve">RSR variable selection for the development of a set of single QSAR models. </w:t>
      </w:r>
      <w:bookmarkStart w:id="6" w:name="_Hlk54390418"/>
      <w:bookmarkEnd w:id="5"/>
      <w:r w:rsidR="00AA64AE" w:rsidRPr="00CE50D8">
        <w:rPr>
          <w:rFonts w:ascii="Times New Roman" w:eastAsia="Times New Roman" w:hAnsi="Times New Roman" w:cs="Times New Roman"/>
        </w:rPr>
        <w:t xml:space="preserve">We searched for models with 1 or 2 descriptors to </w:t>
      </w:r>
      <w:r w:rsidR="0042474E" w:rsidRPr="00CE50D8">
        <w:rPr>
          <w:rFonts w:ascii="Times New Roman" w:eastAsia="Times New Roman" w:hAnsi="Times New Roman" w:cs="Times New Roman"/>
        </w:rPr>
        <w:t>en</w:t>
      </w:r>
      <w:r w:rsidR="00AA64AE" w:rsidRPr="00CE50D8">
        <w:rPr>
          <w:rFonts w:ascii="Times New Roman" w:eastAsia="Times New Roman" w:hAnsi="Times New Roman" w:cs="Times New Roman"/>
        </w:rPr>
        <w:t xml:space="preserve">sure </w:t>
      </w:r>
      <w:r w:rsidR="0042474E" w:rsidRPr="00CE50D8">
        <w:rPr>
          <w:rFonts w:ascii="Times New Roman" w:eastAsia="Times New Roman" w:hAnsi="Times New Roman" w:cs="Times New Roman"/>
        </w:rPr>
        <w:t xml:space="preserve">that </w:t>
      </w:r>
      <w:r w:rsidR="00AA64AE" w:rsidRPr="00CE50D8">
        <w:rPr>
          <w:rFonts w:ascii="Times New Roman" w:eastAsia="Times New Roman" w:hAnsi="Times New Roman" w:cs="Times New Roman"/>
        </w:rPr>
        <w:t>the Topliss ratio was maintained</w:t>
      </w:r>
      <w:bookmarkEnd w:id="6"/>
      <w:r w:rsidR="0042474E" w:rsidRPr="00CE50D8">
        <w:rPr>
          <w:rFonts w:ascii="Times New Roman" w:eastAsia="Times New Roman" w:hAnsi="Times New Roman" w:cs="Times New Roman"/>
        </w:rPr>
        <w:t>.</w:t>
      </w:r>
      <w:r w:rsidR="00AA64AE" w:rsidRPr="00CE50D8">
        <w:rPr>
          <w:rFonts w:ascii="Times New Roman" w:eastAsia="Times New Roman" w:hAnsi="Times New Roman" w:cs="Times New Roman"/>
        </w:rPr>
        <w:t xml:space="preserve"> </w:t>
      </w:r>
      <w:r w:rsidRPr="00CE50D8">
        <w:rPr>
          <w:rFonts w:ascii="Times New Roman" w:eastAsia="Times New Roman" w:hAnsi="Times New Roman" w:cs="Times New Roman"/>
        </w:rPr>
        <w:t>The goodness of fit f</w:t>
      </w:r>
      <w:r w:rsidR="0042474E" w:rsidRPr="00CE50D8">
        <w:rPr>
          <w:rFonts w:ascii="Times New Roman" w:eastAsia="Times New Roman" w:hAnsi="Times New Roman" w:cs="Times New Roman"/>
        </w:rPr>
        <w:t>or</w:t>
      </w:r>
      <w:r w:rsidRPr="00CE50D8">
        <w:rPr>
          <w:rFonts w:ascii="Times New Roman" w:eastAsia="Times New Roman" w:hAnsi="Times New Roman" w:cs="Times New Roman"/>
        </w:rPr>
        <w:t xml:space="preserve"> each model was assessed by examining the determination correlation coefficient (R</w:t>
      </w:r>
      <w:r w:rsidRPr="00CE50D8">
        <w:rPr>
          <w:rFonts w:ascii="Times New Roman" w:eastAsia="Times New Roman" w:hAnsi="Times New Roman" w:cs="Times New Roman"/>
          <w:vertAlign w:val="superscript"/>
        </w:rPr>
        <w:t>2</w:t>
      </w:r>
      <w:r w:rsidRPr="00CE50D8">
        <w:rPr>
          <w:rFonts w:ascii="Times New Roman" w:eastAsia="Times New Roman" w:hAnsi="Times New Roman" w:cs="Times New Roman"/>
        </w:rPr>
        <w:t xml:space="preserve">), the standard deviation (s), and the Fisher ratio (F). </w:t>
      </w:r>
    </w:p>
    <w:p w14:paraId="3069C4F1" w14:textId="3A2C43D6"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 xml:space="preserve">The robustness and predictive ability of the models were evaluated </w:t>
      </w:r>
      <w:r w:rsidR="00D33850" w:rsidRPr="00CE50D8">
        <w:rPr>
          <w:rFonts w:ascii="Times New Roman" w:eastAsia="Times New Roman" w:hAnsi="Times New Roman" w:cs="Times New Roman"/>
        </w:rPr>
        <w:t xml:space="preserve">by </w:t>
      </w:r>
      <w:r w:rsidR="009830A9" w:rsidRPr="00CE50D8">
        <w:rPr>
          <w:rFonts w:ascii="Times New Roman" w:eastAsia="Times New Roman" w:hAnsi="Times New Roman" w:cs="Times New Roman"/>
        </w:rPr>
        <w:t>using</w:t>
      </w:r>
      <w:r w:rsidRPr="00CE50D8">
        <w:rPr>
          <w:rFonts w:ascii="Times New Roman" w:eastAsia="Times New Roman" w:hAnsi="Times New Roman" w:cs="Times New Roman"/>
        </w:rPr>
        <w:t xml:space="preserve"> cross-validation</w:t>
      </w:r>
      <w:r w:rsidR="009830A9" w:rsidRPr="00CE50D8">
        <w:rPr>
          <w:rFonts w:ascii="Times New Roman" w:eastAsia="Times New Roman" w:hAnsi="Times New Roman" w:cs="Times New Roman"/>
        </w:rPr>
        <w:t xml:space="preserve"> techniques</w:t>
      </w:r>
      <w:r w:rsidRPr="00CE50D8">
        <w:rPr>
          <w:rFonts w:ascii="Times New Roman" w:eastAsia="Times New Roman" w:hAnsi="Times New Roman" w:cs="Times New Roman"/>
        </w:rPr>
        <w:t>, using the leave-one-out (LOO) method, Root Mean Squared Error of Prediction and bootstrapping testing techniques (i.e. RMSEP, Q</w:t>
      </w:r>
      <w:r w:rsidRPr="00CE50D8">
        <w:rPr>
          <w:rFonts w:ascii="Times New Roman" w:eastAsia="Times New Roman" w:hAnsi="Times New Roman" w:cs="Times New Roman"/>
          <w:vertAlign w:val="superscript"/>
        </w:rPr>
        <w:t>2</w:t>
      </w:r>
      <w:r w:rsidRPr="00CE50D8">
        <w:rPr>
          <w:rFonts w:ascii="Times New Roman" w:eastAsia="Times New Roman" w:hAnsi="Times New Roman" w:cs="Times New Roman"/>
          <w:vertAlign w:val="subscript"/>
        </w:rPr>
        <w:t>LOO,</w:t>
      </w:r>
      <w:r w:rsidRPr="00CE50D8">
        <w:rPr>
          <w:rFonts w:ascii="Times New Roman" w:eastAsia="Times New Roman" w:hAnsi="Times New Roman" w:cs="Times New Roman"/>
        </w:rPr>
        <w:t xml:space="preserve"> and Q</w:t>
      </w:r>
      <w:r w:rsidRPr="00CE50D8">
        <w:rPr>
          <w:rFonts w:ascii="Times New Roman" w:eastAsia="Times New Roman" w:hAnsi="Times New Roman" w:cs="Times New Roman"/>
          <w:vertAlign w:val="superscript"/>
        </w:rPr>
        <w:t>2</w:t>
      </w:r>
      <w:r w:rsidRPr="00CE50D8">
        <w:rPr>
          <w:rFonts w:ascii="Times New Roman" w:eastAsia="Times New Roman" w:hAnsi="Times New Roman" w:cs="Times New Roman"/>
          <w:vertAlign w:val="subscript"/>
        </w:rPr>
        <w:t>boot</w:t>
      </w:r>
      <w:r w:rsidRPr="00CE50D8">
        <w:rPr>
          <w:rFonts w:ascii="Times New Roman" w:eastAsia="Times New Roman" w:hAnsi="Times New Roman" w:cs="Times New Roman"/>
        </w:rPr>
        <w:t>). Further, the stability under heavy perturbations in the training set was checked by examining the outcome statistics of a response randomization procedure (Yscrambling) based on the mean of Q</w:t>
      </w:r>
      <w:r w:rsidRPr="00CE50D8">
        <w:rPr>
          <w:rFonts w:ascii="Times New Roman" w:eastAsia="Times New Roman" w:hAnsi="Times New Roman" w:cs="Times New Roman"/>
          <w:vertAlign w:val="superscript"/>
        </w:rPr>
        <w:t>2</w:t>
      </w:r>
      <w:r w:rsidRPr="00CE50D8">
        <w:rPr>
          <w:rFonts w:ascii="Times New Roman" w:eastAsia="Times New Roman" w:hAnsi="Times New Roman" w:cs="Times New Roman"/>
        </w:rPr>
        <w:t xml:space="preserve"> (Q</w:t>
      </w:r>
      <w:r w:rsidRPr="00CE50D8">
        <w:rPr>
          <w:rFonts w:ascii="Times New Roman" w:eastAsia="Times New Roman" w:hAnsi="Times New Roman" w:cs="Times New Roman"/>
          <w:vertAlign w:val="superscript"/>
        </w:rPr>
        <w:t>2</w:t>
      </w:r>
      <w:r w:rsidRPr="00CE50D8">
        <w:rPr>
          <w:rFonts w:ascii="Times New Roman" w:eastAsia="Times New Roman" w:hAnsi="Times New Roman" w:cs="Times New Roman"/>
          <w:vertAlign w:val="subscript"/>
        </w:rPr>
        <w:t>Yscr-mean</w:t>
      </w:r>
      <w:r w:rsidRPr="00CE50D8">
        <w:rPr>
          <w:rFonts w:ascii="Times New Roman" w:eastAsia="Times New Roman" w:hAnsi="Times New Roman" w:cs="Times New Roman"/>
        </w:rPr>
        <w:t>) of each iteration (number of iteration = 300). All of these calculations were carried out using MATLAB (MATLAB 6.1, The MathWorks Inc., Natick, MA, 2000). The good quality of the models was judged by high F, low s, as well as the high values for R</w:t>
      </w:r>
      <w:r w:rsidRPr="00CE50D8">
        <w:rPr>
          <w:rFonts w:ascii="Times New Roman" w:eastAsia="Times New Roman" w:hAnsi="Times New Roman" w:cs="Times New Roman"/>
          <w:vertAlign w:val="superscript"/>
        </w:rPr>
        <w:t>2</w:t>
      </w:r>
      <w:r w:rsidRPr="00CE50D8">
        <w:rPr>
          <w:rFonts w:ascii="Times New Roman" w:eastAsia="Times New Roman" w:hAnsi="Times New Roman" w:cs="Times New Roman"/>
        </w:rPr>
        <w:t>, Q</w:t>
      </w:r>
      <w:r w:rsidRPr="00CE50D8">
        <w:rPr>
          <w:rFonts w:ascii="Times New Roman" w:eastAsia="Times New Roman" w:hAnsi="Times New Roman" w:cs="Times New Roman"/>
          <w:vertAlign w:val="superscript"/>
        </w:rPr>
        <w:t>2</w:t>
      </w:r>
      <w:r w:rsidRPr="00CE50D8">
        <w:rPr>
          <w:rFonts w:ascii="Times New Roman" w:eastAsia="Times New Roman" w:hAnsi="Times New Roman" w:cs="Times New Roman"/>
          <w:vertAlign w:val="subscript"/>
        </w:rPr>
        <w:t>LOO</w:t>
      </w:r>
      <w:r w:rsidR="00D33850" w:rsidRPr="00CE50D8">
        <w:rPr>
          <w:rFonts w:ascii="Times New Roman" w:eastAsia="Times New Roman" w:hAnsi="Times New Roman" w:cs="Times New Roman"/>
          <w:vertAlign w:val="subscript"/>
        </w:rPr>
        <w:t>,</w:t>
      </w:r>
      <w:r w:rsidRPr="00CE50D8">
        <w:rPr>
          <w:rFonts w:ascii="Times New Roman" w:eastAsia="Times New Roman" w:hAnsi="Times New Roman" w:cs="Times New Roman"/>
        </w:rPr>
        <w:t xml:space="preserve"> and Q</w:t>
      </w:r>
      <w:r w:rsidRPr="00CE50D8">
        <w:rPr>
          <w:rFonts w:ascii="Times New Roman" w:eastAsia="Times New Roman" w:hAnsi="Times New Roman" w:cs="Times New Roman"/>
          <w:vertAlign w:val="superscript"/>
        </w:rPr>
        <w:t>2</w:t>
      </w:r>
      <w:r w:rsidRPr="00CE50D8">
        <w:rPr>
          <w:rFonts w:ascii="Times New Roman" w:eastAsia="Times New Roman" w:hAnsi="Times New Roman" w:cs="Times New Roman"/>
          <w:vertAlign w:val="subscript"/>
        </w:rPr>
        <w:t>boot</w:t>
      </w:r>
      <w:r w:rsidRPr="00CE50D8">
        <w:rPr>
          <w:rFonts w:ascii="Times New Roman" w:eastAsia="Times New Roman" w:hAnsi="Times New Roman" w:cs="Times New Roman"/>
        </w:rPr>
        <w:t xml:space="preserve"> and low values of RMSEP along with the Q</w:t>
      </w:r>
      <w:r w:rsidRPr="00CE50D8">
        <w:rPr>
          <w:rFonts w:ascii="Times New Roman" w:eastAsia="Times New Roman" w:hAnsi="Times New Roman" w:cs="Times New Roman"/>
          <w:vertAlign w:val="superscript"/>
        </w:rPr>
        <w:t>2</w:t>
      </w:r>
      <w:r w:rsidRPr="00CE50D8">
        <w:rPr>
          <w:rFonts w:ascii="Times New Roman" w:eastAsia="Times New Roman" w:hAnsi="Times New Roman" w:cs="Times New Roman"/>
          <w:vertAlign w:val="subscript"/>
        </w:rPr>
        <w:t>Yscr-mean</w:t>
      </w:r>
      <w:r w:rsidRPr="00CE50D8">
        <w:rPr>
          <w:rFonts w:ascii="Times New Roman" w:eastAsia="Times New Roman" w:hAnsi="Times New Roman" w:cs="Times New Roman"/>
        </w:rPr>
        <w:t xml:space="preserve"> close to zero. </w:t>
      </w:r>
      <w:bookmarkStart w:id="7" w:name="_Hlk54390937"/>
      <w:r w:rsidRPr="00CE50D8">
        <w:rPr>
          <w:rFonts w:ascii="Times New Roman" w:eastAsia="Times New Roman" w:hAnsi="Times New Roman" w:cs="Times New Roman"/>
        </w:rPr>
        <w:t xml:space="preserve">The final model </w:t>
      </w:r>
      <w:r w:rsidR="00557A55" w:rsidRPr="00CE50D8">
        <w:rPr>
          <w:rFonts w:ascii="Times New Roman" w:eastAsia="Times New Roman" w:hAnsi="Times New Roman" w:cs="Times New Roman"/>
        </w:rPr>
        <w:t xml:space="preserve">(consensus model) </w:t>
      </w:r>
      <w:r w:rsidRPr="00CE50D8">
        <w:rPr>
          <w:rFonts w:ascii="Times New Roman" w:eastAsia="Times New Roman" w:hAnsi="Times New Roman" w:cs="Times New Roman"/>
        </w:rPr>
        <w:t>was obtained fr</w:t>
      </w:r>
      <w:r w:rsidR="00D33850" w:rsidRPr="00CE50D8">
        <w:rPr>
          <w:rFonts w:ascii="Times New Roman" w:eastAsia="Times New Roman" w:hAnsi="Times New Roman" w:cs="Times New Roman"/>
        </w:rPr>
        <w:t>om</w:t>
      </w:r>
      <w:r w:rsidRPr="00CE50D8">
        <w:rPr>
          <w:rFonts w:ascii="Times New Roman" w:eastAsia="Times New Roman" w:hAnsi="Times New Roman" w:cs="Times New Roman"/>
        </w:rPr>
        <w:t xml:space="preserve"> the </w:t>
      </w:r>
      <w:r w:rsidR="00AB6573" w:rsidRPr="00CE50D8">
        <w:rPr>
          <w:rFonts w:ascii="Times New Roman" w:eastAsia="Times New Roman" w:hAnsi="Times New Roman" w:cs="Times New Roman"/>
        </w:rPr>
        <w:t xml:space="preserve">averaged </w:t>
      </w:r>
      <w:r w:rsidR="00557A55" w:rsidRPr="00CE50D8">
        <w:rPr>
          <w:rFonts w:ascii="Times New Roman" w:eastAsia="Times New Roman" w:hAnsi="Times New Roman" w:cs="Times New Roman"/>
        </w:rPr>
        <w:t xml:space="preserve">predictions </w:t>
      </w:r>
      <w:r w:rsidRPr="00CE50D8">
        <w:rPr>
          <w:rFonts w:ascii="Times New Roman" w:eastAsia="Times New Roman" w:hAnsi="Times New Roman" w:cs="Times New Roman"/>
        </w:rPr>
        <w:t>of four more distan</w:t>
      </w:r>
      <w:r w:rsidR="0042474E" w:rsidRPr="00CE50D8">
        <w:rPr>
          <w:rFonts w:ascii="Times New Roman" w:eastAsia="Times New Roman" w:hAnsi="Times New Roman" w:cs="Times New Roman"/>
        </w:rPr>
        <w:t>ces</w:t>
      </w:r>
      <w:r w:rsidRPr="00CE50D8">
        <w:rPr>
          <w:rFonts w:ascii="Times New Roman" w:eastAsia="Times New Roman" w:hAnsi="Times New Roman" w:cs="Times New Roman"/>
        </w:rPr>
        <w:t xml:space="preserve"> </w:t>
      </w:r>
      <w:r w:rsidR="00AB6573" w:rsidRPr="00CE50D8">
        <w:rPr>
          <w:rFonts w:ascii="Times New Roman" w:eastAsia="Times New Roman" w:hAnsi="Times New Roman" w:cs="Times New Roman"/>
        </w:rPr>
        <w:t>(</w:t>
      </w:r>
      <w:r w:rsidRPr="00CE50D8">
        <w:rPr>
          <w:rFonts w:ascii="Times New Roman" w:eastAsia="Times New Roman" w:hAnsi="Times New Roman" w:cs="Times New Roman"/>
        </w:rPr>
        <w:t>based on Canonical Measure of Distance (CMD)</w:t>
      </w:r>
      <w:r w:rsidR="003145D2" w:rsidRPr="00CE50D8">
        <w:rPr>
          <w:rFonts w:ascii="Times New Roman" w:eastAsia="Times New Roman" w:hAnsi="Times New Roman" w:cs="Times New Roman"/>
        </w:rPr>
        <w:t xml:space="preserve"> </w:t>
      </w:r>
      <w:r w:rsidRPr="00CE50D8">
        <w:rPr>
          <w:rFonts w:ascii="Times New Roman" w:eastAsia="Times New Roman" w:hAnsi="Times New Roman" w:cs="Times New Roman"/>
        </w:rPr>
        <w:t>[</w:t>
      </w:r>
      <w:r w:rsidR="004D409A" w:rsidRPr="00CE50D8">
        <w:rPr>
          <w:rFonts w:ascii="Times New Roman" w:eastAsia="Times New Roman" w:hAnsi="Times New Roman" w:cs="Times New Roman"/>
        </w:rPr>
        <w:t>69</w:t>
      </w:r>
      <w:r w:rsidRPr="00CE50D8">
        <w:rPr>
          <w:rFonts w:ascii="Times New Roman" w:eastAsia="Times New Roman" w:hAnsi="Times New Roman" w:cs="Times New Roman"/>
        </w:rPr>
        <w:t>]</w:t>
      </w:r>
      <w:r w:rsidR="00AB6573" w:rsidRPr="00CE50D8">
        <w:rPr>
          <w:rFonts w:ascii="Times New Roman" w:eastAsia="Times New Roman" w:hAnsi="Times New Roman" w:cs="Times New Roman"/>
        </w:rPr>
        <w:t>)</w:t>
      </w:r>
      <w:r w:rsidRPr="00CE50D8">
        <w:rPr>
          <w:rFonts w:ascii="Times New Roman" w:eastAsia="Times New Roman" w:hAnsi="Times New Roman" w:cs="Times New Roman"/>
        </w:rPr>
        <w:t xml:space="preserve"> and </w:t>
      </w:r>
      <w:r w:rsidR="00AB6573" w:rsidRPr="00CE50D8">
        <w:rPr>
          <w:rFonts w:ascii="Times New Roman" w:eastAsia="Times New Roman" w:hAnsi="Times New Roman" w:cs="Times New Roman"/>
        </w:rPr>
        <w:t>predictive</w:t>
      </w:r>
      <w:r w:rsidRPr="00CE50D8">
        <w:rPr>
          <w:rFonts w:ascii="Times New Roman" w:eastAsia="Times New Roman" w:hAnsi="Times New Roman" w:cs="Times New Roman"/>
        </w:rPr>
        <w:t xml:space="preserve"> models</w:t>
      </w:r>
      <w:r w:rsidR="00AB6573" w:rsidRPr="00CE50D8">
        <w:rPr>
          <w:rFonts w:ascii="Times New Roman" w:eastAsia="Times New Roman" w:hAnsi="Times New Roman" w:cs="Times New Roman"/>
        </w:rPr>
        <w:t xml:space="preserve"> (</w:t>
      </w:r>
      <w:r w:rsidRPr="00CE50D8">
        <w:rPr>
          <w:rFonts w:ascii="Times New Roman" w:eastAsia="Times New Roman" w:hAnsi="Times New Roman" w:cs="Times New Roman"/>
        </w:rPr>
        <w:t>based on Q</w:t>
      </w:r>
      <w:r w:rsidRPr="00CE50D8">
        <w:rPr>
          <w:rFonts w:ascii="Times New Roman" w:eastAsia="Times New Roman" w:hAnsi="Times New Roman" w:cs="Times New Roman"/>
          <w:vertAlign w:val="superscript"/>
        </w:rPr>
        <w:t>2</w:t>
      </w:r>
      <w:r w:rsidRPr="00CE50D8">
        <w:rPr>
          <w:rFonts w:ascii="Times New Roman" w:eastAsia="Times New Roman" w:hAnsi="Times New Roman" w:cs="Times New Roman"/>
          <w:vertAlign w:val="subscript"/>
        </w:rPr>
        <w:t>LOO</w:t>
      </w:r>
      <w:r w:rsidRPr="00CE50D8">
        <w:rPr>
          <w:rFonts w:ascii="Times New Roman" w:eastAsia="Times New Roman" w:hAnsi="Times New Roman" w:cs="Times New Roman"/>
        </w:rPr>
        <w:t xml:space="preserve"> and RMSEP</w:t>
      </w:r>
      <w:r w:rsidR="00AB6573" w:rsidRPr="00CE50D8">
        <w:rPr>
          <w:rFonts w:ascii="Times New Roman" w:eastAsia="Times New Roman" w:hAnsi="Times New Roman" w:cs="Times New Roman"/>
        </w:rPr>
        <w:t>)</w:t>
      </w:r>
      <w:r w:rsidRPr="00CE50D8">
        <w:rPr>
          <w:rFonts w:ascii="Times New Roman" w:eastAsia="Times New Roman" w:hAnsi="Times New Roman" w:cs="Times New Roman"/>
        </w:rPr>
        <w:t>.</w:t>
      </w:r>
      <w:bookmarkEnd w:id="7"/>
    </w:p>
    <w:p w14:paraId="64B52AA3" w14:textId="77777777" w:rsidR="00221BA9" w:rsidRPr="00CE50D8" w:rsidRDefault="001A0A0E">
      <w:pPr>
        <w:spacing w:line="480" w:lineRule="auto"/>
        <w:jc w:val="both"/>
        <w:rPr>
          <w:rFonts w:ascii="Times New Roman" w:eastAsia="Times New Roman" w:hAnsi="Times New Roman" w:cs="Times New Roman"/>
          <w:i/>
        </w:rPr>
      </w:pPr>
      <w:r w:rsidRPr="00CE50D8">
        <w:rPr>
          <w:rFonts w:ascii="Times New Roman" w:eastAsia="Times New Roman" w:hAnsi="Times New Roman" w:cs="Times New Roman"/>
          <w:i/>
        </w:rPr>
        <w:t>General synthetic route toward compounds of type 9, 10</w:t>
      </w:r>
      <w:r w:rsidR="003145D2"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and 11.</w:t>
      </w:r>
    </w:p>
    <w:p w14:paraId="1531AE4C" w14:textId="0B49437F"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The synthesis of compounds of type 9,</w:t>
      </w:r>
      <w:r w:rsidR="003145D2" w:rsidRPr="00CE50D8">
        <w:rPr>
          <w:rFonts w:ascii="Times New Roman" w:eastAsia="Times New Roman" w:hAnsi="Times New Roman" w:cs="Times New Roman"/>
        </w:rPr>
        <w:t xml:space="preserve"> </w:t>
      </w:r>
      <w:r w:rsidRPr="00CE50D8">
        <w:rPr>
          <w:rFonts w:ascii="Times New Roman" w:eastAsia="Times New Roman" w:hAnsi="Times New Roman" w:cs="Times New Roman"/>
        </w:rPr>
        <w:t>10</w:t>
      </w:r>
      <w:r w:rsidR="003145D2" w:rsidRPr="00CE50D8">
        <w:rPr>
          <w:rFonts w:ascii="Times New Roman" w:eastAsia="Times New Roman" w:hAnsi="Times New Roman" w:cs="Times New Roman"/>
        </w:rPr>
        <w:t xml:space="preserve"> </w:t>
      </w:r>
      <w:r w:rsidRPr="00CE50D8">
        <w:rPr>
          <w:rFonts w:ascii="Times New Roman" w:eastAsia="Times New Roman" w:hAnsi="Times New Roman" w:cs="Times New Roman"/>
        </w:rPr>
        <w:t>&amp; 11 w</w:t>
      </w:r>
      <w:r w:rsidR="003145D2" w:rsidRPr="00CE50D8">
        <w:rPr>
          <w:rFonts w:ascii="Times New Roman" w:eastAsia="Times New Roman" w:hAnsi="Times New Roman" w:cs="Times New Roman"/>
        </w:rPr>
        <w:t>as</w:t>
      </w:r>
      <w:r w:rsidRPr="00CE50D8">
        <w:rPr>
          <w:rFonts w:ascii="Times New Roman" w:eastAsia="Times New Roman" w:hAnsi="Times New Roman" w:cs="Times New Roman"/>
        </w:rPr>
        <w:t xml:space="preserve"> achieved from key intermediate (iii) as shown in Schemes 1 and 2. Thus, starting from commercially available 2-Methylthiopyrimidine (i), reaction with diethylcarbonate in the presence of a strong base afforded to intermediate (ii). Subsequent reaction of (ii) with </w:t>
      </w:r>
      <w:r w:rsidR="003145D2" w:rsidRPr="00CE50D8">
        <w:rPr>
          <w:rFonts w:ascii="Times New Roman" w:eastAsia="Times New Roman" w:hAnsi="Times New Roman" w:cs="Times New Roman"/>
        </w:rPr>
        <w:t xml:space="preserve">an </w:t>
      </w:r>
      <w:r w:rsidRPr="00CE50D8">
        <w:rPr>
          <w:rFonts w:ascii="Times New Roman" w:eastAsia="Times New Roman" w:hAnsi="Times New Roman" w:cs="Times New Roman"/>
        </w:rPr>
        <w:t>excess of DMFDMA in refluxing toluene led to the formation of key intermediate (iii). Scheme 1</w:t>
      </w:r>
    </w:p>
    <w:p w14:paraId="2DF84F7C" w14:textId="77777777" w:rsidR="00221BA9" w:rsidRPr="00CE50D8" w:rsidRDefault="00221BA9">
      <w:pPr>
        <w:spacing w:line="480" w:lineRule="auto"/>
        <w:jc w:val="both"/>
        <w:rPr>
          <w:rFonts w:ascii="Times New Roman" w:eastAsia="Times New Roman" w:hAnsi="Times New Roman" w:cs="Times New Roman"/>
        </w:rPr>
      </w:pPr>
    </w:p>
    <w:p w14:paraId="2A0E1287" w14:textId="77777777" w:rsidR="00221BA9" w:rsidRPr="00CE50D8" w:rsidRDefault="00221BA9">
      <w:pPr>
        <w:spacing w:line="480" w:lineRule="auto"/>
        <w:jc w:val="both"/>
        <w:rPr>
          <w:rFonts w:ascii="Times New Roman" w:eastAsia="Times New Roman" w:hAnsi="Times New Roman" w:cs="Times New Roman"/>
        </w:rPr>
      </w:pPr>
    </w:p>
    <w:p w14:paraId="78E98DA5" w14:textId="77777777" w:rsidR="00221BA9" w:rsidRPr="00CE50D8" w:rsidRDefault="000C05C3">
      <w:pPr>
        <w:spacing w:line="480" w:lineRule="auto"/>
        <w:jc w:val="both"/>
        <w:rPr>
          <w:rFonts w:ascii="Times New Roman" w:eastAsia="Times New Roman" w:hAnsi="Times New Roman" w:cs="Times New Roman"/>
        </w:rPr>
      </w:pPr>
      <w:r w:rsidRPr="00761191">
        <w:rPr>
          <w:rFonts w:ascii="Times New Roman" w:eastAsia="Times New Roman" w:hAnsi="Times New Roman" w:cs="Times New Roman"/>
          <w:noProof/>
        </w:rPr>
        <w:object w:dxaOrig="8835" w:dyaOrig="1125" w14:anchorId="181E5C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 style="width:441.8pt;height:56pt;mso-width-percent:0;mso-height-percent:0;mso-width-percent:0;mso-height-percent:0" o:ole="">
            <v:imagedata r:id="rId10" o:title=""/>
          </v:shape>
          <o:OLEObject Type="Embed" ProgID="ChemDraw.Document.6.0" ShapeID="_x0000_i1029" DrawAspect="Content" ObjectID="_1833369584" r:id="rId11"/>
        </w:object>
      </w:r>
    </w:p>
    <w:p w14:paraId="32EBF385" w14:textId="77777777"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b/>
        </w:rPr>
        <w:lastRenderedPageBreak/>
        <w:t>Scheme 1</w:t>
      </w:r>
      <w:r w:rsidRPr="00CE50D8">
        <w:rPr>
          <w:rFonts w:ascii="Times New Roman" w:eastAsia="Times New Roman" w:hAnsi="Times New Roman" w:cs="Times New Roman"/>
        </w:rPr>
        <w:t>. Synthesis of key intermediate iii.</w:t>
      </w:r>
    </w:p>
    <w:p w14:paraId="20EA0378" w14:textId="77777777" w:rsidR="00221BA9" w:rsidRPr="00CE50D8" w:rsidRDefault="00221BA9">
      <w:pPr>
        <w:spacing w:line="480" w:lineRule="auto"/>
        <w:jc w:val="both"/>
        <w:rPr>
          <w:rFonts w:ascii="Times New Roman" w:eastAsia="Times New Roman" w:hAnsi="Times New Roman" w:cs="Times New Roman"/>
        </w:rPr>
      </w:pPr>
    </w:p>
    <w:p w14:paraId="4C93D761" w14:textId="647633B0"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Key intermediate (iii), was then subjected to react with amidines or guanidines under basic conditions to afford pyrimidinone derivatives (iv). In turn, the reaction of (iii) with 2-aminothiazoles and 2-aminopyridines under acidic conditions led to 5</w:t>
      </w:r>
      <w:r w:rsidRPr="00CE50D8">
        <w:rPr>
          <w:rFonts w:ascii="Times New Roman" w:eastAsia="Times New Roman" w:hAnsi="Times New Roman" w:cs="Times New Roman"/>
          <w:i/>
        </w:rPr>
        <w:t>H</w:t>
      </w:r>
      <w:r w:rsidRPr="00CE50D8">
        <w:rPr>
          <w:rFonts w:ascii="Times New Roman" w:eastAsia="Times New Roman" w:hAnsi="Times New Roman" w:cs="Times New Roman"/>
        </w:rPr>
        <w:t>-thiazolo[3,2-a]pyrimidin-5-ones (v) and to 4H-pyrido[1,2-a]pyrimidin-4-ones (vi)</w:t>
      </w:r>
      <w:r w:rsidR="002B79D7" w:rsidRPr="00CE50D8">
        <w:rPr>
          <w:rFonts w:ascii="Times New Roman" w:eastAsia="Times New Roman" w:hAnsi="Times New Roman" w:cs="Times New Roman"/>
        </w:rPr>
        <w:t>,</w:t>
      </w:r>
      <w:r w:rsidRPr="00CE50D8">
        <w:rPr>
          <w:rFonts w:ascii="Times New Roman" w:eastAsia="Times New Roman" w:hAnsi="Times New Roman" w:cs="Times New Roman"/>
        </w:rPr>
        <w:t xml:space="preserve"> respectively </w:t>
      </w:r>
      <w:r w:rsidR="002B79D7" w:rsidRPr="00CE50D8">
        <w:rPr>
          <w:rFonts w:ascii="Times New Roman" w:eastAsia="Times New Roman" w:hAnsi="Times New Roman" w:cs="Times New Roman"/>
        </w:rPr>
        <w:t>(</w:t>
      </w:r>
      <w:r w:rsidRPr="00CE50D8">
        <w:rPr>
          <w:rFonts w:ascii="Times New Roman" w:eastAsia="Times New Roman" w:hAnsi="Times New Roman" w:cs="Times New Roman"/>
        </w:rPr>
        <w:t>Scheme 2</w:t>
      </w:r>
      <w:r w:rsidR="002B79D7" w:rsidRPr="00CE50D8">
        <w:rPr>
          <w:rFonts w:ascii="Times New Roman" w:eastAsia="Times New Roman" w:hAnsi="Times New Roman" w:cs="Times New Roman"/>
        </w:rPr>
        <w:t>)</w:t>
      </w:r>
      <w:r w:rsidRPr="00CE50D8">
        <w:rPr>
          <w:rFonts w:ascii="Times New Roman" w:eastAsia="Times New Roman" w:hAnsi="Times New Roman" w:cs="Times New Roman"/>
        </w:rPr>
        <w:t>.</w:t>
      </w:r>
    </w:p>
    <w:p w14:paraId="5EBA7456" w14:textId="77777777" w:rsidR="00221BA9" w:rsidRPr="00CE50D8" w:rsidRDefault="00221BA9">
      <w:pPr>
        <w:spacing w:line="480" w:lineRule="auto"/>
        <w:jc w:val="both"/>
        <w:rPr>
          <w:rFonts w:ascii="Times New Roman" w:eastAsia="Times New Roman" w:hAnsi="Times New Roman" w:cs="Times New Roman"/>
        </w:rPr>
      </w:pPr>
    </w:p>
    <w:p w14:paraId="320DE7C0" w14:textId="77777777" w:rsidR="00221BA9" w:rsidRPr="00CE50D8" w:rsidRDefault="000C05C3">
      <w:pPr>
        <w:spacing w:line="480" w:lineRule="auto"/>
        <w:jc w:val="both"/>
        <w:rPr>
          <w:rFonts w:ascii="Times New Roman" w:eastAsia="Times New Roman" w:hAnsi="Times New Roman" w:cs="Times New Roman"/>
        </w:rPr>
      </w:pPr>
      <w:r w:rsidRPr="00761191">
        <w:rPr>
          <w:rFonts w:ascii="Times New Roman" w:eastAsia="Times New Roman" w:hAnsi="Times New Roman" w:cs="Times New Roman"/>
          <w:noProof/>
        </w:rPr>
        <w:object w:dxaOrig="8835" w:dyaOrig="4185" w14:anchorId="307FC8F3">
          <v:shape id="_x0000_i1028" type="#_x0000_t75" alt="" style="width:441.8pt;height:208.9pt;mso-width-percent:0;mso-height-percent:0;mso-width-percent:0;mso-height-percent:0" o:ole="">
            <v:imagedata r:id="rId12" o:title=""/>
          </v:shape>
          <o:OLEObject Type="Embed" ProgID="ChemDraw.Document.6.0" ShapeID="_x0000_i1028" DrawAspect="Content" ObjectID="_1833369585" r:id="rId13"/>
        </w:object>
      </w:r>
    </w:p>
    <w:p w14:paraId="5A8088CA" w14:textId="77777777"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b/>
        </w:rPr>
        <w:t>Scheme 2</w:t>
      </w:r>
      <w:r w:rsidRPr="00CE50D8">
        <w:rPr>
          <w:rFonts w:ascii="Times New Roman" w:eastAsia="Times New Roman" w:hAnsi="Times New Roman" w:cs="Times New Roman"/>
        </w:rPr>
        <w:t>. Synthesis of pyrimidinones (iv), thiazolopyrimidinones (v) and pyridopyrimidinones (vi).</w:t>
      </w:r>
    </w:p>
    <w:p w14:paraId="100C97A2" w14:textId="77777777" w:rsidR="00221BA9" w:rsidRPr="00CE50D8" w:rsidRDefault="00221BA9">
      <w:pPr>
        <w:spacing w:line="480" w:lineRule="auto"/>
        <w:jc w:val="both"/>
        <w:rPr>
          <w:rFonts w:ascii="Times New Roman" w:eastAsia="Times New Roman" w:hAnsi="Times New Roman" w:cs="Times New Roman"/>
        </w:rPr>
      </w:pPr>
    </w:p>
    <w:p w14:paraId="4E21EB0E" w14:textId="0C385E0D"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ab/>
        <w:t>Finally, oxidation of the methylthio moiety with m-CPBA of (iv), (v) and (vi) to the corresponding sulfones (vii) (viii) and (ix) and subsequent nucleophilic displacement with the corresponding py</w:t>
      </w:r>
      <w:r w:rsidR="002B79D7" w:rsidRPr="00CE50D8">
        <w:rPr>
          <w:rFonts w:ascii="Times New Roman" w:eastAsia="Times New Roman" w:hAnsi="Times New Roman" w:cs="Times New Roman"/>
        </w:rPr>
        <w:t>r</w:t>
      </w:r>
      <w:r w:rsidRPr="00CE50D8">
        <w:rPr>
          <w:rFonts w:ascii="Times New Roman" w:eastAsia="Times New Roman" w:hAnsi="Times New Roman" w:cs="Times New Roman"/>
        </w:rPr>
        <w:t xml:space="preserve">rolidines afforded to </w:t>
      </w:r>
      <w:r w:rsidR="003145D2"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 xml:space="preserve">desired compound of type 9, 10 and 11 </w:t>
      </w:r>
      <w:r w:rsidR="002B79D7" w:rsidRPr="00CE50D8">
        <w:rPr>
          <w:rFonts w:ascii="Times New Roman" w:eastAsia="Times New Roman" w:hAnsi="Times New Roman" w:cs="Times New Roman"/>
        </w:rPr>
        <w:t>(</w:t>
      </w:r>
      <w:r w:rsidRPr="00CE50D8">
        <w:rPr>
          <w:rFonts w:ascii="Times New Roman" w:eastAsia="Times New Roman" w:hAnsi="Times New Roman" w:cs="Times New Roman"/>
        </w:rPr>
        <w:t>Scheme 3</w:t>
      </w:r>
      <w:r w:rsidR="002B79D7" w:rsidRPr="00CE50D8">
        <w:rPr>
          <w:rFonts w:ascii="Times New Roman" w:eastAsia="Times New Roman" w:hAnsi="Times New Roman" w:cs="Times New Roman"/>
        </w:rPr>
        <w:t>)</w:t>
      </w:r>
      <w:r w:rsidRPr="00CE50D8">
        <w:rPr>
          <w:rFonts w:ascii="Times New Roman" w:eastAsia="Times New Roman" w:hAnsi="Times New Roman" w:cs="Times New Roman"/>
        </w:rPr>
        <w:t>.</w:t>
      </w:r>
    </w:p>
    <w:p w14:paraId="064363B0" w14:textId="77777777" w:rsidR="00221BA9" w:rsidRPr="00CE50D8" w:rsidRDefault="000C05C3">
      <w:pPr>
        <w:spacing w:line="480" w:lineRule="auto"/>
        <w:jc w:val="both"/>
        <w:rPr>
          <w:rFonts w:ascii="Times New Roman" w:eastAsia="Times New Roman" w:hAnsi="Times New Roman" w:cs="Times New Roman"/>
        </w:rPr>
      </w:pPr>
      <w:r w:rsidRPr="00761191">
        <w:rPr>
          <w:rFonts w:ascii="Times New Roman" w:eastAsia="Times New Roman" w:hAnsi="Times New Roman" w:cs="Times New Roman"/>
          <w:noProof/>
        </w:rPr>
        <w:object w:dxaOrig="8835" w:dyaOrig="5190" w14:anchorId="5342C585">
          <v:shape id="_x0000_i1027" type="#_x0000_t75" alt="" style="width:441.8pt;height:259.55pt;mso-width-percent:0;mso-height-percent:0;mso-width-percent:0;mso-height-percent:0" o:ole="">
            <v:imagedata r:id="rId14" o:title=""/>
          </v:shape>
          <o:OLEObject Type="Embed" ProgID="ChemDraw.Document.6.0" ShapeID="_x0000_i1027" DrawAspect="Content" ObjectID="_1833369586" r:id="rId15"/>
        </w:object>
      </w:r>
    </w:p>
    <w:p w14:paraId="6254041E" w14:textId="77777777"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b/>
        </w:rPr>
        <w:t>Scheme 3</w:t>
      </w:r>
      <w:r w:rsidRPr="00CE50D8">
        <w:rPr>
          <w:rFonts w:ascii="Times New Roman" w:eastAsia="Times New Roman" w:hAnsi="Times New Roman" w:cs="Times New Roman"/>
        </w:rPr>
        <w:t xml:space="preserve">. Preparation of compounds of type 9, 10 and 11 from </w:t>
      </w:r>
      <w:r w:rsidR="003145D2"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nucleophilic displacement of the sulfone moieties in (vii), (viii) and (ix) with the corresponding pyrrolidines.</w:t>
      </w:r>
    </w:p>
    <w:p w14:paraId="4C2EE10B" w14:textId="77777777" w:rsidR="00221BA9" w:rsidRPr="00CE50D8" w:rsidRDefault="00221BA9">
      <w:pPr>
        <w:spacing w:line="480" w:lineRule="auto"/>
        <w:jc w:val="both"/>
        <w:rPr>
          <w:rFonts w:ascii="Times New Roman" w:eastAsia="Times New Roman" w:hAnsi="Times New Roman" w:cs="Times New Roman"/>
          <w:i/>
        </w:rPr>
      </w:pPr>
    </w:p>
    <w:p w14:paraId="3D7C3D49" w14:textId="77777777" w:rsidR="00221BA9" w:rsidRPr="00CE50D8" w:rsidRDefault="001A0A0E">
      <w:pPr>
        <w:spacing w:line="480" w:lineRule="auto"/>
        <w:jc w:val="both"/>
        <w:rPr>
          <w:rFonts w:ascii="Times New Roman" w:eastAsia="Times New Roman" w:hAnsi="Times New Roman" w:cs="Times New Roman"/>
          <w:i/>
        </w:rPr>
      </w:pPr>
      <w:r w:rsidRPr="00CE50D8">
        <w:rPr>
          <w:rFonts w:ascii="Times New Roman" w:eastAsia="Times New Roman" w:hAnsi="Times New Roman" w:cs="Times New Roman"/>
          <w:i/>
        </w:rPr>
        <w:t>AChE Inhibition activity assay</w:t>
      </w:r>
    </w:p>
    <w:p w14:paraId="6247EEA3" w14:textId="77777777"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All the compounds were obtained from the chemical repository of Villapharma. AChE and BChE inhibitory activities were measured by a slightly modified spectrophotometric method of Ellman [7</w:t>
      </w:r>
      <w:r w:rsidR="004D409A" w:rsidRPr="00CE50D8">
        <w:rPr>
          <w:rFonts w:ascii="Times New Roman" w:eastAsia="Times New Roman" w:hAnsi="Times New Roman" w:cs="Times New Roman"/>
        </w:rPr>
        <w:t>0</w:t>
      </w:r>
      <w:r w:rsidRPr="00CE50D8">
        <w:rPr>
          <w:rFonts w:ascii="Times New Roman" w:eastAsia="Times New Roman" w:hAnsi="Times New Roman" w:cs="Times New Roman"/>
        </w:rPr>
        <w:t>]. Electric eel AChE (Type-VI-S; EC 3.1.1.7, Sigma, St. Louis, MO, USA) and horse serum BChE (EC 3.1.1.8, Sigma, St. Louis, MO, USA) were used, while acetylthiocholine iodide and butyrylthiocholine chloride (Sigma, St. Louis, MO, USA) were used as the substrates of the reaction. 5,5´-Dithio-bis(2-nitrobenzoic)acid (DTNB; Sigma, St. Louis, MO, USA) was used for the measurement of the anticholinesterase activity. All reagents and conditions were the same as described in our previous publication [</w:t>
      </w:r>
      <w:hyperlink w:anchor="_heading=h.xvir7l">
        <w:r w:rsidRPr="00CE50D8">
          <w:rPr>
            <w:rFonts w:ascii="Times New Roman" w:eastAsia="Times New Roman" w:hAnsi="Times New Roman" w:cs="Times New Roman"/>
            <w:u w:val="single"/>
          </w:rPr>
          <w:t>7</w:t>
        </w:r>
      </w:hyperlink>
      <w:r w:rsidR="004D409A" w:rsidRPr="00CE50D8">
        <w:rPr>
          <w:rFonts w:ascii="Times New Roman" w:eastAsia="Times New Roman" w:hAnsi="Times New Roman" w:cs="Times New Roman"/>
        </w:rPr>
        <w:t>1</w:t>
      </w:r>
      <w:r w:rsidRPr="00CE50D8">
        <w:rPr>
          <w:rFonts w:ascii="Times New Roman" w:eastAsia="Times New Roman" w:hAnsi="Times New Roman" w:cs="Times New Roman"/>
        </w:rPr>
        <w:t xml:space="preserve">]. Briefly, 140 μL of sodium phosphate buffer (pH 8.0), 20 μL of DTNB, 20 μL of </w:t>
      </w:r>
      <w:r w:rsidR="00671BC1"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 xml:space="preserve">test solution and 20 μL of AChE/BChE solution were added by multichannel automatic pipette (Gilson pipetman, Paris, France) in a 96-well microplate and incubated for 15 min at 25°C. The reaction was then </w:t>
      </w:r>
      <w:r w:rsidRPr="00CE50D8">
        <w:rPr>
          <w:rFonts w:ascii="Times New Roman" w:eastAsia="Times New Roman" w:hAnsi="Times New Roman" w:cs="Times New Roman"/>
        </w:rPr>
        <w:lastRenderedPageBreak/>
        <w:t xml:space="preserve">initiated by the addition of 10 μL of acetylthiocholine iodide/butyrylthiocholine chloride. Hydrolysis of acetylthiocholine iodide/butyrylthiocholine chloride was monitored by the formation of the yellow 5-thio-2-nitrobenzoate anion as a result of the reaction of DTNB with thiocholines, catalyzed by the enzymes, at 412 nm by using a 96-well microplate reader (VersaMax Molecular Devices, Sunnyvale, CA, USA). The measurements and calculations were evaluated by using Softmax PRO 4.3.2.LS software (Sunnyvale, CA, USA). Percentage of inhibition of AChE/BChE was determined by comparison of reaction rates of the samples relative to blank sample (ethanol in phosphate buffer pH=8) using the formula (E-S)/E × 100, where E is the activity of enzyme without test sample and S is the activity of </w:t>
      </w:r>
      <w:r w:rsidR="00671BC1"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 xml:space="preserve">enzyme with </w:t>
      </w:r>
      <w:r w:rsidR="00671BC1"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 xml:space="preserve">test sample. The experiments were done in triplicate. Galanthamine (Sigma, St. Louis, MO, USA) was used as the reference.  </w:t>
      </w:r>
    </w:p>
    <w:p w14:paraId="7C9ACA3D" w14:textId="77777777" w:rsidR="00221BA9" w:rsidRPr="00CE50D8" w:rsidRDefault="001A0A0E">
      <w:pPr>
        <w:widowControl/>
        <w:spacing w:before="240" w:after="120" w:line="480" w:lineRule="auto"/>
        <w:rPr>
          <w:rFonts w:ascii="Times New Roman" w:eastAsia="Times New Roman" w:hAnsi="Times New Roman" w:cs="Times New Roman"/>
          <w:b/>
        </w:rPr>
      </w:pPr>
      <w:r w:rsidRPr="00CE50D8">
        <w:rPr>
          <w:rFonts w:ascii="Times New Roman" w:eastAsia="Times New Roman" w:hAnsi="Times New Roman" w:cs="Times New Roman"/>
          <w:b/>
        </w:rPr>
        <w:t>Results and Discussion</w:t>
      </w:r>
    </w:p>
    <w:p w14:paraId="594D7CFF" w14:textId="77777777" w:rsidR="00221BA9" w:rsidRPr="00CE50D8" w:rsidRDefault="001A0A0E">
      <w:pPr>
        <w:widowControl/>
        <w:spacing w:before="240" w:after="120" w:line="480" w:lineRule="auto"/>
        <w:rPr>
          <w:rFonts w:ascii="Times New Roman" w:eastAsia="Times New Roman" w:hAnsi="Times New Roman" w:cs="Times New Roman"/>
          <w:b/>
        </w:rPr>
      </w:pPr>
      <w:r w:rsidRPr="00CE50D8">
        <w:rPr>
          <w:rFonts w:ascii="Times New Roman" w:eastAsia="Times New Roman" w:hAnsi="Times New Roman" w:cs="Times New Roman"/>
          <w:i/>
        </w:rPr>
        <w:t>Ligand Based Virtual Screening</w:t>
      </w:r>
    </w:p>
    <w:p w14:paraId="0CC11FC7" w14:textId="77777777" w:rsidR="00221BA9" w:rsidRPr="00CE50D8" w:rsidRDefault="001A0A0E">
      <w:pPr>
        <w:widowControl/>
        <w:spacing w:line="480" w:lineRule="auto"/>
        <w:jc w:val="both"/>
        <w:rPr>
          <w:rFonts w:ascii="Times New Roman" w:eastAsia="Times New Roman" w:hAnsi="Times New Roman" w:cs="Times New Roman"/>
          <w:i/>
        </w:rPr>
      </w:pPr>
      <w:bookmarkStart w:id="8" w:name="_heading=h.1fob9te" w:colFirst="0" w:colLast="0"/>
      <w:bookmarkEnd w:id="8"/>
      <w:r w:rsidRPr="00CE50D8">
        <w:rPr>
          <w:rFonts w:ascii="Times New Roman" w:eastAsia="Times New Roman" w:hAnsi="Times New Roman" w:cs="Times New Roman"/>
        </w:rPr>
        <w:t xml:space="preserve">We chose the approved drug database available from Drugbank to identify a new compound with similar scaffolds from a corporative database (Villapharma) containing 11353 compounds. Initial screening based on 3D-shape comparison to each of the 1535 Drugbank compounds with a similarity threshold of 0.9 retrieves 2980 hits. Concurrently, a pharmacophore-based screening has been performed on the corporative library using the models generated from the Drugbank compounds. </w:t>
      </w:r>
      <w:r w:rsidR="008531E3" w:rsidRPr="00CE50D8">
        <w:rPr>
          <w:rFonts w:ascii="Times New Roman" w:eastAsia="Times New Roman" w:hAnsi="Times New Roman" w:cs="Times New Roman"/>
        </w:rPr>
        <w:t>T</w:t>
      </w:r>
      <w:r w:rsidRPr="00CE50D8">
        <w:rPr>
          <w:rFonts w:ascii="Times New Roman" w:eastAsia="Times New Roman" w:hAnsi="Times New Roman" w:cs="Times New Roman"/>
        </w:rPr>
        <w:t xml:space="preserve">o select a set of molecules with high shape similarity and pharmacophore fit values, we have crossed the results obtained by both the methodologies and retained only those compounds meet both the criteria (Figure 1a). The consensus prediction results in 108 molecules from the database of Villapharma which are predicted to be highly similar to 21 approved drugs. Among them, we have selected 8 compounds for experimental </w:t>
      </w:r>
      <w:r w:rsidRPr="00CE50D8">
        <w:rPr>
          <w:rFonts w:ascii="Times New Roman" w:eastAsia="Times New Roman" w:hAnsi="Times New Roman" w:cs="Times New Roman"/>
        </w:rPr>
        <w:lastRenderedPageBreak/>
        <w:t xml:space="preserve">characterization which are chemically similar to pyridostigmine, a known cholinesterase inhibitor (Compound 1-8 in Table 1). </w:t>
      </w:r>
    </w:p>
    <w:p w14:paraId="67ECC04D" w14:textId="77777777" w:rsidR="00221BA9" w:rsidRPr="00CE50D8" w:rsidRDefault="001A0A0E">
      <w:pPr>
        <w:widowControl/>
        <w:spacing w:before="240" w:after="120" w:line="480" w:lineRule="auto"/>
        <w:jc w:val="center"/>
        <w:rPr>
          <w:rFonts w:ascii="Times New Roman" w:eastAsia="Times New Roman" w:hAnsi="Times New Roman" w:cs="Times New Roman"/>
        </w:rPr>
      </w:pPr>
      <w:r w:rsidRPr="00CE50D8">
        <w:rPr>
          <w:rFonts w:ascii="Times New Roman" w:eastAsia="Times New Roman" w:hAnsi="Times New Roman" w:cs="Times New Roman"/>
          <w:noProof/>
        </w:rPr>
        <w:drawing>
          <wp:inline distT="0" distB="0" distL="0" distR="0" wp14:anchorId="0EF2472C" wp14:editId="7FA116FB">
            <wp:extent cx="5240825" cy="3031645"/>
            <wp:effectExtent l="0" t="0" r="0" b="0"/>
            <wp:docPr id="6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6"/>
                    <a:srcRect/>
                    <a:stretch>
                      <a:fillRect/>
                    </a:stretch>
                  </pic:blipFill>
                  <pic:spPr>
                    <a:xfrm>
                      <a:off x="0" y="0"/>
                      <a:ext cx="5240825" cy="3031645"/>
                    </a:xfrm>
                    <a:prstGeom prst="rect">
                      <a:avLst/>
                    </a:prstGeom>
                    <a:ln/>
                  </pic:spPr>
                </pic:pic>
              </a:graphicData>
            </a:graphic>
          </wp:inline>
        </w:drawing>
      </w:r>
    </w:p>
    <w:p w14:paraId="009A2DDB" w14:textId="04046771" w:rsidR="00221BA9" w:rsidRPr="00CE50D8" w:rsidRDefault="001A0A0E">
      <w:pPr>
        <w:widowControl/>
        <w:spacing w:before="120" w:after="240" w:line="480" w:lineRule="auto"/>
        <w:ind w:right="425"/>
        <w:jc w:val="both"/>
        <w:rPr>
          <w:rFonts w:ascii="Times New Roman" w:eastAsia="Times New Roman" w:hAnsi="Times New Roman" w:cs="Times New Roman"/>
          <w:i/>
        </w:rPr>
      </w:pPr>
      <w:r w:rsidRPr="00CE50D8">
        <w:rPr>
          <w:rFonts w:ascii="Times New Roman" w:eastAsia="Times New Roman" w:hAnsi="Times New Roman" w:cs="Times New Roman"/>
          <w:b/>
        </w:rPr>
        <w:t xml:space="preserve">Figure 1. </w:t>
      </w:r>
      <w:r w:rsidRPr="00CE50D8">
        <w:rPr>
          <w:rFonts w:ascii="Times New Roman" w:eastAsia="Times New Roman" w:hAnsi="Times New Roman" w:cs="Times New Roman"/>
        </w:rPr>
        <w:t>Virtual screening workflow for the screening of the corporate database (a) Ligand</w:t>
      </w:r>
      <w:r w:rsidR="002B79D7" w:rsidRPr="00CE50D8">
        <w:rPr>
          <w:rFonts w:ascii="Times New Roman" w:eastAsia="Times New Roman" w:hAnsi="Times New Roman" w:cs="Times New Roman"/>
        </w:rPr>
        <w:t>-</w:t>
      </w:r>
      <w:r w:rsidRPr="00CE50D8">
        <w:rPr>
          <w:rFonts w:ascii="Times New Roman" w:eastAsia="Times New Roman" w:hAnsi="Times New Roman" w:cs="Times New Roman"/>
        </w:rPr>
        <w:t>based methods (b) Structure</w:t>
      </w:r>
      <w:r w:rsidR="002B79D7" w:rsidRPr="00CE50D8">
        <w:rPr>
          <w:rFonts w:ascii="Times New Roman" w:eastAsia="Times New Roman" w:hAnsi="Times New Roman" w:cs="Times New Roman"/>
        </w:rPr>
        <w:t>-</w:t>
      </w:r>
      <w:r w:rsidRPr="00CE50D8">
        <w:rPr>
          <w:rFonts w:ascii="Times New Roman" w:eastAsia="Times New Roman" w:hAnsi="Times New Roman" w:cs="Times New Roman"/>
        </w:rPr>
        <w:t>based method for A</w:t>
      </w:r>
      <w:r w:rsidR="008531E3" w:rsidRPr="00CE50D8">
        <w:rPr>
          <w:rFonts w:ascii="Times New Roman" w:eastAsia="Times New Roman" w:hAnsi="Times New Roman" w:cs="Times New Roman"/>
        </w:rPr>
        <w:t>c</w:t>
      </w:r>
      <w:r w:rsidRPr="00CE50D8">
        <w:rPr>
          <w:rFonts w:ascii="Times New Roman" w:eastAsia="Times New Roman" w:hAnsi="Times New Roman" w:cs="Times New Roman"/>
        </w:rPr>
        <w:t>hEIs</w:t>
      </w:r>
      <w:r w:rsidR="008531E3" w:rsidRPr="00CE50D8">
        <w:rPr>
          <w:rFonts w:ascii="Times New Roman" w:eastAsia="Times New Roman" w:hAnsi="Times New Roman" w:cs="Times New Roman"/>
        </w:rPr>
        <w:t xml:space="preserve"> identification</w:t>
      </w:r>
      <w:r w:rsidRPr="00CE50D8">
        <w:rPr>
          <w:rFonts w:ascii="Times New Roman" w:eastAsia="Times New Roman" w:hAnsi="Times New Roman" w:cs="Times New Roman"/>
        </w:rPr>
        <w:t>.</w:t>
      </w:r>
    </w:p>
    <w:p w14:paraId="35DDE2E8" w14:textId="77777777" w:rsidR="00221BA9" w:rsidRPr="00CE50D8" w:rsidRDefault="00221BA9">
      <w:pPr>
        <w:widowControl/>
        <w:spacing w:before="120" w:after="240" w:line="480" w:lineRule="auto"/>
        <w:ind w:right="425"/>
        <w:jc w:val="both"/>
        <w:rPr>
          <w:rFonts w:ascii="Times New Roman" w:eastAsia="Times New Roman" w:hAnsi="Times New Roman" w:cs="Times New Roman"/>
          <w:i/>
        </w:rPr>
      </w:pPr>
    </w:p>
    <w:p w14:paraId="1C56A88A" w14:textId="77777777" w:rsidR="00221BA9" w:rsidRPr="00CE50D8" w:rsidRDefault="001A0A0E">
      <w:pPr>
        <w:widowControl/>
        <w:spacing w:before="120" w:after="240" w:line="480" w:lineRule="auto"/>
        <w:ind w:right="425"/>
        <w:jc w:val="both"/>
        <w:rPr>
          <w:rFonts w:ascii="Times New Roman" w:eastAsia="Times New Roman" w:hAnsi="Times New Roman" w:cs="Times New Roman"/>
          <w:i/>
        </w:rPr>
      </w:pPr>
      <w:r w:rsidRPr="00CE50D8">
        <w:rPr>
          <w:rFonts w:ascii="Times New Roman" w:eastAsia="Times New Roman" w:hAnsi="Times New Roman" w:cs="Times New Roman"/>
          <w:i/>
        </w:rPr>
        <w:t>Structure-based virtual screening</w:t>
      </w:r>
    </w:p>
    <w:p w14:paraId="438C754C" w14:textId="5E0A48A3" w:rsidR="00221BA9" w:rsidRPr="00CE50D8" w:rsidRDefault="001A0A0E">
      <w:pPr>
        <w:widowControl/>
        <w:spacing w:line="480" w:lineRule="auto"/>
        <w:jc w:val="both"/>
        <w:rPr>
          <w:rFonts w:ascii="Times New Roman" w:eastAsia="Times New Roman" w:hAnsi="Times New Roman" w:cs="Times New Roman"/>
          <w:i/>
        </w:rPr>
      </w:pPr>
      <w:r w:rsidRPr="00CE50D8">
        <w:rPr>
          <w:rFonts w:ascii="Times New Roman" w:eastAsia="Times New Roman" w:hAnsi="Times New Roman" w:cs="Times New Roman"/>
        </w:rPr>
        <w:t xml:space="preserve">Furthermore, a structure-based approach has been adopted to mine new AChEIs (Figure 1b). The crystal structure of AChE, available from Protein Data Bank (Accession code 1GQR </w:t>
      </w:r>
      <w:r w:rsidRPr="00CE50D8">
        <w:rPr>
          <w:rFonts w:ascii="Times New Roman" w:eastAsia="Times New Roman" w:hAnsi="Times New Roman" w:cs="Times New Roman"/>
          <w:iCs/>
        </w:rPr>
        <w:t>[</w:t>
      </w:r>
      <w:hyperlink w:anchor="_heading=h.1rvwp1q">
        <w:r w:rsidRPr="00CE50D8">
          <w:rPr>
            <w:rFonts w:ascii="Times New Roman" w:eastAsia="Times New Roman" w:hAnsi="Times New Roman" w:cs="Times New Roman"/>
            <w:iCs/>
          </w:rPr>
          <w:t>59</w:t>
        </w:r>
      </w:hyperlink>
      <w:r w:rsidRPr="00CE50D8">
        <w:rPr>
          <w:rFonts w:ascii="Times New Roman" w:eastAsia="Times New Roman" w:hAnsi="Times New Roman" w:cs="Times New Roman"/>
          <w:iCs/>
        </w:rPr>
        <w:t>]</w:t>
      </w:r>
      <w:r w:rsidRPr="00CE50D8">
        <w:rPr>
          <w:rFonts w:ascii="Times New Roman" w:eastAsia="Times New Roman" w:hAnsi="Times New Roman" w:cs="Times New Roman"/>
        </w:rPr>
        <w:t xml:space="preserve">), has been used in the docking study. All the compounds from the Villapharma compound library have been docked within the active site of AChE with Leadfinder v1.1.20 </w:t>
      </w:r>
      <w:r w:rsidRPr="00CE50D8">
        <w:rPr>
          <w:rFonts w:ascii="Times New Roman" w:eastAsia="Times New Roman" w:hAnsi="Times New Roman" w:cs="Times New Roman"/>
          <w:iCs/>
        </w:rPr>
        <w:t>[</w:t>
      </w:r>
      <w:hyperlink w:anchor="_heading=h.4bvk7pj">
        <w:r w:rsidRPr="00CE50D8">
          <w:rPr>
            <w:rFonts w:ascii="Times New Roman" w:eastAsia="Times New Roman" w:hAnsi="Times New Roman" w:cs="Times New Roman"/>
            <w:iCs/>
          </w:rPr>
          <w:t>62-6</w:t>
        </w:r>
      </w:hyperlink>
      <w:r w:rsidRPr="00CE50D8">
        <w:rPr>
          <w:rFonts w:ascii="Times New Roman" w:eastAsia="Times New Roman" w:hAnsi="Times New Roman" w:cs="Times New Roman"/>
          <w:iCs/>
        </w:rPr>
        <w:t>3]</w:t>
      </w:r>
      <w:r w:rsidRPr="00CE50D8">
        <w:rPr>
          <w:rFonts w:ascii="Times New Roman" w:eastAsia="Times New Roman" w:hAnsi="Times New Roman" w:cs="Times New Roman"/>
        </w:rPr>
        <w:t>. For docking, a grid map of 30 Å</w:t>
      </w:r>
      <w:r w:rsidRPr="00CE50D8">
        <w:rPr>
          <w:rFonts w:ascii="Times New Roman" w:eastAsia="Times New Roman" w:hAnsi="Times New Roman" w:cs="Times New Roman"/>
          <w:vertAlign w:val="superscript"/>
        </w:rPr>
        <w:t>3</w:t>
      </w:r>
      <w:r w:rsidRPr="00CE50D8">
        <w:rPr>
          <w:rFonts w:ascii="Times New Roman" w:eastAsia="Times New Roman" w:hAnsi="Times New Roman" w:cs="Times New Roman"/>
        </w:rPr>
        <w:t xml:space="preserve"> has been chosen and centered on the center of mass of the co-crystalized ligand. Post-processing of the docking poses has been performed with the aid of Ligandscout v4.1.10 </w:t>
      </w:r>
      <w:r w:rsidRPr="00CE50D8">
        <w:rPr>
          <w:rFonts w:ascii="Times New Roman" w:eastAsia="Times New Roman" w:hAnsi="Times New Roman" w:cs="Times New Roman"/>
          <w:iCs/>
        </w:rPr>
        <w:t>[</w:t>
      </w:r>
      <w:hyperlink w:anchor="_heading=h.3q5sasy">
        <w:r w:rsidRPr="00CE50D8">
          <w:rPr>
            <w:rFonts w:ascii="Times New Roman" w:eastAsia="Times New Roman" w:hAnsi="Times New Roman" w:cs="Times New Roman"/>
            <w:iCs/>
          </w:rPr>
          <w:t>6</w:t>
        </w:r>
      </w:hyperlink>
      <w:r w:rsidRPr="00CE50D8">
        <w:rPr>
          <w:rFonts w:ascii="Times New Roman" w:eastAsia="Times New Roman" w:hAnsi="Times New Roman" w:cs="Times New Roman"/>
          <w:iCs/>
        </w:rPr>
        <w:t>5]</w:t>
      </w:r>
      <w:r w:rsidRPr="00CE50D8">
        <w:rPr>
          <w:rFonts w:ascii="Times New Roman" w:eastAsia="Times New Roman" w:hAnsi="Times New Roman" w:cs="Times New Roman"/>
        </w:rPr>
        <w:t xml:space="preserve"> using a pharmacophore model of the bound rivastigmine, the native ligand of the </w:t>
      </w:r>
      <w:r w:rsidR="002B79D7" w:rsidRPr="00CE50D8">
        <w:rPr>
          <w:rFonts w:ascii="Times New Roman" w:eastAsia="Times New Roman" w:hAnsi="Times New Roman" w:cs="Times New Roman"/>
        </w:rPr>
        <w:t xml:space="preserve">AChE </w:t>
      </w:r>
      <w:r w:rsidRPr="00CE50D8">
        <w:rPr>
          <w:rFonts w:ascii="Times New Roman" w:eastAsia="Times New Roman" w:hAnsi="Times New Roman" w:cs="Times New Roman"/>
        </w:rPr>
        <w:t>crystal structure</w:t>
      </w:r>
      <w:r w:rsidR="002B79D7" w:rsidRPr="00CE50D8">
        <w:rPr>
          <w:rFonts w:ascii="Times New Roman" w:eastAsia="Times New Roman" w:hAnsi="Times New Roman" w:cs="Times New Roman"/>
        </w:rPr>
        <w:t xml:space="preserve">. </w:t>
      </w:r>
      <w:r w:rsidRPr="00CE50D8">
        <w:rPr>
          <w:rFonts w:ascii="Times New Roman" w:eastAsia="Times New Roman" w:hAnsi="Times New Roman" w:cs="Times New Roman"/>
        </w:rPr>
        <w:t xml:space="preserve">The success of molecular docking depends on two critical factors. </w:t>
      </w:r>
      <w:r w:rsidRPr="00CE50D8">
        <w:rPr>
          <w:rFonts w:ascii="Times New Roman" w:eastAsia="Times New Roman" w:hAnsi="Times New Roman" w:cs="Times New Roman"/>
        </w:rPr>
        <w:lastRenderedPageBreak/>
        <w:t xml:space="preserve">These are the accuracy in predicting the binding pose and prediction of the binding affinities by different scoring functions. It has been found that docking programs can predict the correct binding pose with reasonable accuracy but not always a good docking conformation is related to a high scoring value </w:t>
      </w:r>
      <w:r w:rsidRPr="00CE50D8">
        <w:rPr>
          <w:rFonts w:ascii="Times New Roman" w:eastAsia="Times New Roman" w:hAnsi="Times New Roman" w:cs="Times New Roman"/>
          <w:iCs/>
        </w:rPr>
        <w:t>[7</w:t>
      </w:r>
      <w:r w:rsidR="00AB39BB" w:rsidRPr="00CE50D8">
        <w:rPr>
          <w:rFonts w:ascii="Times New Roman" w:eastAsia="Times New Roman" w:hAnsi="Times New Roman" w:cs="Times New Roman"/>
          <w:iCs/>
        </w:rPr>
        <w:t>2</w:t>
      </w:r>
      <w:r w:rsidRPr="00CE50D8">
        <w:rPr>
          <w:rFonts w:ascii="Times New Roman" w:eastAsia="Times New Roman" w:hAnsi="Times New Roman" w:cs="Times New Roman"/>
          <w:iCs/>
        </w:rPr>
        <w:t>]</w:t>
      </w:r>
      <w:r w:rsidRPr="00CE50D8">
        <w:rPr>
          <w:rFonts w:ascii="Times New Roman" w:eastAsia="Times New Roman" w:hAnsi="Times New Roman" w:cs="Times New Roman"/>
        </w:rPr>
        <w:t xml:space="preserve">. Therefore, we adopted a different scoring method than the available force field based method. The resulting docking poses obtained for each ligand have been post-scored using a structure-based pharmacophore model generated from the interaction of rivastigmine with AChE, derived by using </w:t>
      </w:r>
      <w:r w:rsidR="002B79D7"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 xml:space="preserve">Ligandscout. The rationale behind the approach is that compounds with </w:t>
      </w:r>
      <w:r w:rsidR="002B79D7" w:rsidRPr="00CE50D8">
        <w:rPr>
          <w:rFonts w:ascii="Times New Roman" w:eastAsia="Times New Roman" w:hAnsi="Times New Roman" w:cs="Times New Roman"/>
        </w:rPr>
        <w:t xml:space="preserve">a </w:t>
      </w:r>
      <w:r w:rsidRPr="00CE50D8">
        <w:rPr>
          <w:rFonts w:ascii="Times New Roman" w:eastAsia="Times New Roman" w:hAnsi="Times New Roman" w:cs="Times New Roman"/>
        </w:rPr>
        <w:t xml:space="preserve">predicted pose that fit within the binding site </w:t>
      </w:r>
      <w:r w:rsidR="002B79D7" w:rsidRPr="00CE50D8">
        <w:rPr>
          <w:rFonts w:ascii="Times New Roman" w:eastAsia="Times New Roman" w:hAnsi="Times New Roman" w:cs="Times New Roman"/>
        </w:rPr>
        <w:t xml:space="preserve">very </w:t>
      </w:r>
      <w:r w:rsidRPr="00CE50D8">
        <w:rPr>
          <w:rFonts w:ascii="Times New Roman" w:eastAsia="Times New Roman" w:hAnsi="Times New Roman" w:cs="Times New Roman"/>
        </w:rPr>
        <w:t>similar to a known inhibitor must be highly scored. Docking based screening is often inclined to the selection of compounds with higher molecular weight, thus normalizing the docking score with respect to the number of heavy atoms is proposed to discriminate between false and true positives. Therefore, we have opted for prioritizing the screened compound according to their predicted ligand efficiency (calculated as the docking score value by the number of heavy atoms). We have selected the top-ranked compound for further experimental validation (compound 9 in Table 1).</w:t>
      </w:r>
    </w:p>
    <w:p w14:paraId="7E7CC32A" w14:textId="77777777" w:rsidR="00221BA9" w:rsidRPr="00CE50D8" w:rsidRDefault="001A0A0E">
      <w:pPr>
        <w:widowControl/>
        <w:spacing w:before="240" w:after="120" w:line="480" w:lineRule="auto"/>
        <w:ind w:right="425"/>
        <w:jc w:val="both"/>
        <w:rPr>
          <w:rFonts w:ascii="Times New Roman" w:eastAsia="Times New Roman" w:hAnsi="Times New Roman" w:cs="Times New Roman"/>
          <w:i/>
        </w:rPr>
      </w:pPr>
      <w:r w:rsidRPr="00CE50D8">
        <w:rPr>
          <w:rFonts w:ascii="Times New Roman" w:eastAsia="Times New Roman" w:hAnsi="Times New Roman" w:cs="Times New Roman"/>
          <w:b/>
          <w:i/>
        </w:rPr>
        <w:t xml:space="preserve">Table 1. </w:t>
      </w:r>
      <w:r w:rsidRPr="00CE50D8">
        <w:rPr>
          <w:rFonts w:ascii="Times New Roman" w:eastAsia="Times New Roman" w:hAnsi="Times New Roman" w:cs="Times New Roman"/>
        </w:rPr>
        <w:t xml:space="preserve">In vitro Acetylcholinesterase (AChE) and Butyrylcholinesterase (BChE) inhibitory activity of the initially screened compounds obtained from virtual screening. </w:t>
      </w:r>
    </w:p>
    <w:tbl>
      <w:tblPr>
        <w:tblStyle w:val="PlainTable2"/>
        <w:tblW w:w="10490" w:type="dxa"/>
        <w:tblLayout w:type="fixed"/>
        <w:tblLook w:val="04A0" w:firstRow="1" w:lastRow="0" w:firstColumn="1" w:lastColumn="0" w:noHBand="0" w:noVBand="1"/>
      </w:tblPr>
      <w:tblGrid>
        <w:gridCol w:w="1555"/>
        <w:gridCol w:w="2126"/>
        <w:gridCol w:w="2273"/>
        <w:gridCol w:w="2268"/>
        <w:gridCol w:w="2268"/>
      </w:tblGrid>
      <w:tr w:rsidR="00761191" w:rsidRPr="00CE50D8" w14:paraId="0712E34E" w14:textId="5E04C4D6" w:rsidTr="001F5B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D9AB6EA" w14:textId="77777777" w:rsidR="003F760F" w:rsidRPr="00CE50D8" w:rsidRDefault="003F760F" w:rsidP="003A2761">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 w:val="0"/>
                <w:bCs w:val="0"/>
                <w:snapToGrid w:val="0"/>
                <w:kern w:val="0"/>
                <w:lang w:val="en-US" w:eastAsia="de-DE" w:bidi="en-US"/>
              </w:rPr>
              <w:t>Compound id</w:t>
            </w:r>
          </w:p>
        </w:tc>
        <w:tc>
          <w:tcPr>
            <w:tcW w:w="2126" w:type="dxa"/>
          </w:tcPr>
          <w:p w14:paraId="336832CF"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 w:val="0"/>
                <w:bCs w:val="0"/>
                <w:snapToGrid w:val="0"/>
                <w:kern w:val="0"/>
                <w:lang w:val="en-US" w:eastAsia="de-DE" w:bidi="en-US"/>
              </w:rPr>
              <w:t>Compound structure</w:t>
            </w:r>
          </w:p>
        </w:tc>
        <w:tc>
          <w:tcPr>
            <w:tcW w:w="2273" w:type="dxa"/>
          </w:tcPr>
          <w:p w14:paraId="3F71F628"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 w:val="0"/>
                <w:bCs w:val="0"/>
                <w:snapToGrid w:val="0"/>
                <w:kern w:val="0"/>
                <w:lang w:val="en-US" w:eastAsia="de-DE" w:bidi="en-US"/>
              </w:rPr>
              <w:t>AChE Inhibition</w:t>
            </w:r>
          </w:p>
          <w:p w14:paraId="11FD36E6"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 w:val="0"/>
                <w:bCs w:val="0"/>
                <w:snapToGrid w:val="0"/>
                <w:kern w:val="0"/>
                <w:lang w:val="en-US" w:eastAsia="de-DE" w:bidi="en-US"/>
              </w:rPr>
              <w:t>(Inhibition% ± S.D.*)</w:t>
            </w:r>
          </w:p>
          <w:p w14:paraId="2E870310"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b w:val="0"/>
                <w:bCs w:val="0"/>
                <w:snapToGrid w:val="0"/>
                <w:kern w:val="0"/>
                <w:lang w:val="en-US" w:eastAsia="de-DE" w:bidi="en-US"/>
              </w:rPr>
              <w:t>100 µg/ml</w:t>
            </w:r>
          </w:p>
          <w:p w14:paraId="3A2FCB47" w14:textId="0344BD74" w:rsidR="003A2761" w:rsidRPr="00CE50D8" w:rsidRDefault="003A2761" w:rsidP="003F760F">
            <w:pPr>
              <w:widowControl/>
              <w:suppressAutoHyphens w:val="0"/>
              <w:kinsoku w:val="0"/>
              <w:overflowPunct w:val="0"/>
              <w:autoSpaceDE w:val="0"/>
              <w:autoSpaceDN w:val="0"/>
              <w:adjustRightInd w:val="0"/>
              <w:snapToGrid w:val="0"/>
              <w:spacing w:line="480" w:lineRule="auto"/>
              <w:jc w:val="center"/>
              <w:outlineLvl w:val="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 w:val="0"/>
                <w:bCs w:val="0"/>
                <w:snapToGrid w:val="0"/>
                <w:kern w:val="0"/>
                <w:lang w:val="en-US" w:eastAsia="de-DE" w:bidi="en-US"/>
              </w:rPr>
              <w:t>(IC</w:t>
            </w:r>
            <w:r w:rsidRPr="00CE50D8">
              <w:rPr>
                <w:rFonts w:ascii="Times New Roman" w:eastAsia="Times New Roman" w:hAnsi="Times New Roman" w:cs="Times New Roman"/>
                <w:b w:val="0"/>
                <w:bCs w:val="0"/>
                <w:snapToGrid w:val="0"/>
                <w:kern w:val="0"/>
                <w:vertAlign w:val="subscript"/>
                <w:lang w:val="en-US" w:eastAsia="de-DE" w:bidi="en-US"/>
              </w:rPr>
              <w:t xml:space="preserve">50 </w:t>
            </w:r>
            <w:r w:rsidRPr="00CE50D8">
              <w:rPr>
                <w:rFonts w:ascii="Times New Roman" w:eastAsia="Times New Roman" w:hAnsi="Times New Roman" w:cs="Times New Roman"/>
                <w:b w:val="0"/>
                <w:bCs w:val="0"/>
                <w:snapToGrid w:val="0"/>
                <w:kern w:val="0"/>
                <w:lang w:val="en-US" w:eastAsia="de-DE" w:bidi="en-US"/>
              </w:rPr>
              <w:t>in µM)</w:t>
            </w:r>
          </w:p>
        </w:tc>
        <w:tc>
          <w:tcPr>
            <w:tcW w:w="2268" w:type="dxa"/>
          </w:tcPr>
          <w:p w14:paraId="15916CBA"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 w:val="0"/>
                <w:bCs w:val="0"/>
                <w:snapToGrid w:val="0"/>
                <w:kern w:val="0"/>
                <w:lang w:val="en-US" w:eastAsia="de-DE" w:bidi="en-US"/>
              </w:rPr>
              <w:t>BChE Inhibition</w:t>
            </w:r>
          </w:p>
          <w:p w14:paraId="0704E1A2"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 w:val="0"/>
                <w:bCs w:val="0"/>
                <w:snapToGrid w:val="0"/>
                <w:kern w:val="0"/>
                <w:lang w:val="en-US" w:eastAsia="de-DE" w:bidi="en-US"/>
              </w:rPr>
              <w:t>(Inhibition% ± S.D.*)</w:t>
            </w:r>
          </w:p>
          <w:p w14:paraId="66EBFA6B"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b w:val="0"/>
                <w:bCs w:val="0"/>
                <w:snapToGrid w:val="0"/>
                <w:kern w:val="0"/>
                <w:lang w:val="en-US" w:eastAsia="de-DE" w:bidi="en-US"/>
              </w:rPr>
              <w:t>100 µg/ml</w:t>
            </w:r>
          </w:p>
          <w:p w14:paraId="5808FCC4" w14:textId="15EA217A" w:rsidR="003A2761" w:rsidRPr="00CE50D8" w:rsidRDefault="003A2761" w:rsidP="003F760F">
            <w:pPr>
              <w:widowControl/>
              <w:suppressAutoHyphens w:val="0"/>
              <w:kinsoku w:val="0"/>
              <w:overflowPunct w:val="0"/>
              <w:autoSpaceDE w:val="0"/>
              <w:autoSpaceDN w:val="0"/>
              <w:adjustRightInd w:val="0"/>
              <w:snapToGrid w:val="0"/>
              <w:spacing w:line="480" w:lineRule="auto"/>
              <w:jc w:val="center"/>
              <w:outlineLvl w:val="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 w:val="0"/>
                <w:bCs w:val="0"/>
                <w:snapToGrid w:val="0"/>
                <w:kern w:val="0"/>
                <w:lang w:val="en-US" w:eastAsia="de-DE" w:bidi="en-US"/>
              </w:rPr>
              <w:t>(IC</w:t>
            </w:r>
            <w:r w:rsidRPr="00CE50D8">
              <w:rPr>
                <w:rFonts w:ascii="Times New Roman" w:eastAsia="Times New Roman" w:hAnsi="Times New Roman" w:cs="Times New Roman"/>
                <w:b w:val="0"/>
                <w:bCs w:val="0"/>
                <w:snapToGrid w:val="0"/>
                <w:kern w:val="0"/>
                <w:vertAlign w:val="subscript"/>
                <w:lang w:val="en-US" w:eastAsia="de-DE" w:bidi="en-US"/>
              </w:rPr>
              <w:t xml:space="preserve">50 </w:t>
            </w:r>
            <w:r w:rsidRPr="00CE50D8">
              <w:rPr>
                <w:rFonts w:ascii="Times New Roman" w:eastAsia="Times New Roman" w:hAnsi="Times New Roman" w:cs="Times New Roman"/>
                <w:b w:val="0"/>
                <w:bCs w:val="0"/>
                <w:snapToGrid w:val="0"/>
                <w:kern w:val="0"/>
                <w:lang w:val="en-US" w:eastAsia="de-DE" w:bidi="en-US"/>
              </w:rPr>
              <w:t>in µM)</w:t>
            </w:r>
          </w:p>
        </w:tc>
        <w:tc>
          <w:tcPr>
            <w:tcW w:w="2268" w:type="dxa"/>
          </w:tcPr>
          <w:p w14:paraId="597B8131"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 w:val="0"/>
                <w:bCs w:val="0"/>
                <w:snapToGrid w:val="0"/>
                <w:kern w:val="0"/>
                <w:lang w:val="en-US" w:eastAsia="de-DE" w:bidi="en-US"/>
              </w:rPr>
              <w:t>Selectivity index</w:t>
            </w:r>
          </w:p>
          <w:p w14:paraId="7EB2E691"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 w:val="0"/>
                <w:bCs w:val="0"/>
                <w:snapToGrid w:val="0"/>
                <w:kern w:val="0"/>
                <w:lang w:val="en-US" w:eastAsia="de-DE" w:bidi="en-US"/>
              </w:rPr>
              <w:t>(AChE</w:t>
            </w:r>
            <w:r w:rsidRPr="00CE50D8">
              <w:rPr>
                <w:rFonts w:ascii="Times New Roman" w:eastAsia="Times New Roman" w:hAnsi="Times New Roman" w:cs="Times New Roman"/>
                <w:b w:val="0"/>
                <w:bCs w:val="0"/>
                <w:snapToGrid w:val="0"/>
                <w:kern w:val="0"/>
                <w:vertAlign w:val="subscript"/>
                <w:lang w:val="en-US" w:eastAsia="de-DE" w:bidi="en-US"/>
              </w:rPr>
              <w:t>inhinition</w:t>
            </w:r>
            <w:r w:rsidRPr="00CE50D8">
              <w:rPr>
                <w:rFonts w:ascii="Times New Roman" w:eastAsia="Times New Roman" w:hAnsi="Times New Roman" w:cs="Times New Roman"/>
                <w:b w:val="0"/>
                <w:bCs w:val="0"/>
                <w:snapToGrid w:val="0"/>
                <w:kern w:val="0"/>
                <w:lang w:val="en-US" w:eastAsia="de-DE" w:bidi="en-US"/>
              </w:rPr>
              <w:t>/ BChE</w:t>
            </w:r>
            <w:r w:rsidRPr="00CE50D8">
              <w:rPr>
                <w:rFonts w:ascii="Times New Roman" w:eastAsia="Times New Roman" w:hAnsi="Times New Roman" w:cs="Times New Roman"/>
                <w:b w:val="0"/>
                <w:bCs w:val="0"/>
                <w:snapToGrid w:val="0"/>
                <w:kern w:val="0"/>
                <w:vertAlign w:val="subscript"/>
                <w:lang w:val="en-US" w:eastAsia="de-DE" w:bidi="en-US"/>
              </w:rPr>
              <w:t>inhibition)</w:t>
            </w:r>
            <w:r w:rsidRPr="00CE50D8">
              <w:rPr>
                <w:rFonts w:ascii="Times New Roman" w:eastAsia="Times New Roman" w:hAnsi="Times New Roman" w:cs="Times New Roman"/>
                <w:b w:val="0"/>
                <w:bCs w:val="0"/>
                <w:snapToGrid w:val="0"/>
                <w:kern w:val="0"/>
                <w:lang w:val="en-US" w:eastAsia="de-DE" w:bidi="en-US"/>
              </w:rPr>
              <w:t xml:space="preserve"> </w:t>
            </w:r>
          </w:p>
          <w:p w14:paraId="42B3CED7" w14:textId="3F5017EE"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 w:val="0"/>
                <w:bCs w:val="0"/>
                <w:snapToGrid w:val="0"/>
                <w:kern w:val="0"/>
                <w:lang w:val="en-US" w:eastAsia="de-DE" w:bidi="en-US"/>
              </w:rPr>
              <w:t>100 µg/ml</w:t>
            </w:r>
          </w:p>
        </w:tc>
      </w:tr>
      <w:tr w:rsidR="00761191" w:rsidRPr="00CE50D8" w14:paraId="4A337DAE" w14:textId="23827499"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AA6C89A"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Cs w:val="0"/>
                <w:snapToGrid w:val="0"/>
                <w:kern w:val="0"/>
                <w:lang w:val="en-US" w:eastAsia="de-DE" w:bidi="en-US"/>
              </w:rPr>
              <w:t>1</w:t>
            </w:r>
          </w:p>
        </w:tc>
        <w:tc>
          <w:tcPr>
            <w:tcW w:w="2126" w:type="dxa"/>
          </w:tcPr>
          <w:p w14:paraId="6B6AAEA9"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inline distT="0" distB="0" distL="0" distR="0" wp14:anchorId="55AE1146" wp14:editId="11D97D01">
                  <wp:extent cx="833120" cy="5943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33120" cy="594360"/>
                          </a:xfrm>
                          <a:prstGeom prst="rect">
                            <a:avLst/>
                          </a:prstGeom>
                          <a:noFill/>
                          <a:ln>
                            <a:noFill/>
                          </a:ln>
                        </pic:spPr>
                      </pic:pic>
                    </a:graphicData>
                  </a:graphic>
                </wp:inline>
              </w:drawing>
            </w:r>
          </w:p>
        </w:tc>
        <w:tc>
          <w:tcPr>
            <w:tcW w:w="2273" w:type="dxa"/>
          </w:tcPr>
          <w:p w14:paraId="76BB66D4"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12.32 ± 1.54</w:t>
            </w:r>
          </w:p>
        </w:tc>
        <w:tc>
          <w:tcPr>
            <w:tcW w:w="2268" w:type="dxa"/>
          </w:tcPr>
          <w:p w14:paraId="02BB8B42" w14:textId="6FA18E2D"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4.90 ± 1.90</w:t>
            </w:r>
          </w:p>
        </w:tc>
        <w:tc>
          <w:tcPr>
            <w:tcW w:w="2268" w:type="dxa"/>
          </w:tcPr>
          <w:p w14:paraId="0E64C057" w14:textId="73FEA13A"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t>2.51</w:t>
            </w:r>
          </w:p>
        </w:tc>
      </w:tr>
      <w:tr w:rsidR="00761191" w:rsidRPr="00CE50D8" w14:paraId="7B5A44B2" w14:textId="513418A3" w:rsidTr="001F5B53">
        <w:tc>
          <w:tcPr>
            <w:cnfStyle w:val="001000000000" w:firstRow="0" w:lastRow="0" w:firstColumn="1" w:lastColumn="0" w:oddVBand="0" w:evenVBand="0" w:oddHBand="0" w:evenHBand="0" w:firstRowFirstColumn="0" w:firstRowLastColumn="0" w:lastRowFirstColumn="0" w:lastRowLastColumn="0"/>
            <w:tcW w:w="1555" w:type="dxa"/>
          </w:tcPr>
          <w:p w14:paraId="34695F44"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Cs w:val="0"/>
                <w:snapToGrid w:val="0"/>
                <w:kern w:val="0"/>
                <w:lang w:val="en-US" w:eastAsia="de-DE" w:bidi="en-US"/>
              </w:rPr>
              <w:lastRenderedPageBreak/>
              <w:t>2</w:t>
            </w:r>
          </w:p>
        </w:tc>
        <w:tc>
          <w:tcPr>
            <w:tcW w:w="2126" w:type="dxa"/>
          </w:tcPr>
          <w:p w14:paraId="4978927D"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inline distT="0" distB="0" distL="0" distR="0" wp14:anchorId="5F9D4948" wp14:editId="301138A8">
                  <wp:extent cx="909320" cy="513080"/>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09320" cy="513080"/>
                          </a:xfrm>
                          <a:prstGeom prst="rect">
                            <a:avLst/>
                          </a:prstGeom>
                          <a:noFill/>
                          <a:ln>
                            <a:noFill/>
                          </a:ln>
                        </pic:spPr>
                      </pic:pic>
                    </a:graphicData>
                  </a:graphic>
                </wp:inline>
              </w:drawing>
            </w:r>
          </w:p>
        </w:tc>
        <w:tc>
          <w:tcPr>
            <w:tcW w:w="2273" w:type="dxa"/>
          </w:tcPr>
          <w:p w14:paraId="319896A2"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22.69 ± 3.03</w:t>
            </w:r>
          </w:p>
        </w:tc>
        <w:tc>
          <w:tcPr>
            <w:tcW w:w="2268" w:type="dxa"/>
          </w:tcPr>
          <w:p w14:paraId="1D6B2881" w14:textId="23D8591F"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28.65 ± 0.78</w:t>
            </w:r>
          </w:p>
        </w:tc>
        <w:tc>
          <w:tcPr>
            <w:tcW w:w="2268" w:type="dxa"/>
          </w:tcPr>
          <w:p w14:paraId="45D79ACB" w14:textId="79FA7DCB"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t>0.79</w:t>
            </w:r>
          </w:p>
        </w:tc>
      </w:tr>
      <w:tr w:rsidR="00761191" w:rsidRPr="00CE50D8" w14:paraId="2FDB9FB4" w14:textId="36C6C7BF"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10A5088"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Cs w:val="0"/>
                <w:snapToGrid w:val="0"/>
                <w:kern w:val="0"/>
                <w:lang w:val="en-US" w:eastAsia="de-DE" w:bidi="en-US"/>
              </w:rPr>
              <w:t>3</w:t>
            </w:r>
          </w:p>
        </w:tc>
        <w:tc>
          <w:tcPr>
            <w:tcW w:w="2126" w:type="dxa"/>
          </w:tcPr>
          <w:p w14:paraId="13C05297"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inline distT="0" distB="0" distL="0" distR="0" wp14:anchorId="1FB75548" wp14:editId="574F733C">
                  <wp:extent cx="914400" cy="497840"/>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4400" cy="497840"/>
                          </a:xfrm>
                          <a:prstGeom prst="rect">
                            <a:avLst/>
                          </a:prstGeom>
                          <a:noFill/>
                          <a:ln>
                            <a:noFill/>
                          </a:ln>
                        </pic:spPr>
                      </pic:pic>
                    </a:graphicData>
                  </a:graphic>
                </wp:inline>
              </w:drawing>
            </w:r>
          </w:p>
        </w:tc>
        <w:tc>
          <w:tcPr>
            <w:tcW w:w="2273" w:type="dxa"/>
          </w:tcPr>
          <w:p w14:paraId="542D34E2"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w:t>
            </w:r>
          </w:p>
        </w:tc>
        <w:tc>
          <w:tcPr>
            <w:tcW w:w="2268" w:type="dxa"/>
          </w:tcPr>
          <w:p w14:paraId="498232A2" w14:textId="3DDFCF02"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2.34 ± 1.02</w:t>
            </w:r>
          </w:p>
        </w:tc>
        <w:tc>
          <w:tcPr>
            <w:tcW w:w="2268" w:type="dxa"/>
          </w:tcPr>
          <w:p w14:paraId="6552AD9F" w14:textId="259E6208"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t>-</w:t>
            </w:r>
          </w:p>
        </w:tc>
      </w:tr>
      <w:tr w:rsidR="00761191" w:rsidRPr="00CE50D8" w14:paraId="36EE373C" w14:textId="6216B9BD" w:rsidTr="001F5B53">
        <w:tc>
          <w:tcPr>
            <w:cnfStyle w:val="001000000000" w:firstRow="0" w:lastRow="0" w:firstColumn="1" w:lastColumn="0" w:oddVBand="0" w:evenVBand="0" w:oddHBand="0" w:evenHBand="0" w:firstRowFirstColumn="0" w:firstRowLastColumn="0" w:lastRowFirstColumn="0" w:lastRowLastColumn="0"/>
            <w:tcW w:w="1555" w:type="dxa"/>
          </w:tcPr>
          <w:p w14:paraId="178A884C"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Cs w:val="0"/>
                <w:snapToGrid w:val="0"/>
                <w:kern w:val="0"/>
                <w:lang w:val="en-US" w:eastAsia="de-DE" w:bidi="en-US"/>
              </w:rPr>
              <w:t>4</w:t>
            </w:r>
          </w:p>
        </w:tc>
        <w:tc>
          <w:tcPr>
            <w:tcW w:w="2126" w:type="dxa"/>
          </w:tcPr>
          <w:p w14:paraId="389B7F29"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inline distT="0" distB="0" distL="0" distR="0" wp14:anchorId="1E04BAF6" wp14:editId="36853401">
                  <wp:extent cx="878840" cy="492760"/>
                  <wp:effectExtent l="0" t="0" r="0"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78840" cy="492760"/>
                          </a:xfrm>
                          <a:prstGeom prst="rect">
                            <a:avLst/>
                          </a:prstGeom>
                          <a:noFill/>
                          <a:ln>
                            <a:noFill/>
                          </a:ln>
                        </pic:spPr>
                      </pic:pic>
                    </a:graphicData>
                  </a:graphic>
                </wp:inline>
              </w:drawing>
            </w:r>
          </w:p>
        </w:tc>
        <w:tc>
          <w:tcPr>
            <w:tcW w:w="2273" w:type="dxa"/>
          </w:tcPr>
          <w:p w14:paraId="406A2089"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14.53 ± 1.67</w:t>
            </w:r>
          </w:p>
        </w:tc>
        <w:tc>
          <w:tcPr>
            <w:tcW w:w="2268" w:type="dxa"/>
          </w:tcPr>
          <w:p w14:paraId="1E2B3E1D" w14:textId="4E1543E9"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17.70 ± 1.57</w:t>
            </w:r>
          </w:p>
        </w:tc>
        <w:tc>
          <w:tcPr>
            <w:tcW w:w="2268" w:type="dxa"/>
          </w:tcPr>
          <w:p w14:paraId="426EFD0A" w14:textId="1903D41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t>0.82</w:t>
            </w:r>
          </w:p>
        </w:tc>
      </w:tr>
      <w:tr w:rsidR="00761191" w:rsidRPr="00CE50D8" w14:paraId="1A5990F4" w14:textId="20FAB067"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BC9C107"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Cs w:val="0"/>
                <w:snapToGrid w:val="0"/>
                <w:kern w:val="0"/>
                <w:lang w:val="en-US" w:eastAsia="de-DE" w:bidi="en-US"/>
              </w:rPr>
              <w:t>5</w:t>
            </w:r>
          </w:p>
        </w:tc>
        <w:tc>
          <w:tcPr>
            <w:tcW w:w="2126" w:type="dxa"/>
          </w:tcPr>
          <w:p w14:paraId="35FF0747"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w:t>
            </w:r>
          </w:p>
        </w:tc>
        <w:tc>
          <w:tcPr>
            <w:tcW w:w="2273" w:type="dxa"/>
          </w:tcPr>
          <w:p w14:paraId="13C711A0"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19.23 ± 0.57</w:t>
            </w:r>
          </w:p>
        </w:tc>
        <w:tc>
          <w:tcPr>
            <w:tcW w:w="2268" w:type="dxa"/>
          </w:tcPr>
          <w:p w14:paraId="5932F291" w14:textId="20DB26BA"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w:t>
            </w:r>
          </w:p>
        </w:tc>
        <w:tc>
          <w:tcPr>
            <w:tcW w:w="2268" w:type="dxa"/>
          </w:tcPr>
          <w:p w14:paraId="56FBF101" w14:textId="3973D993"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t>-</w:t>
            </w:r>
          </w:p>
        </w:tc>
      </w:tr>
      <w:tr w:rsidR="00761191" w:rsidRPr="00CE50D8" w14:paraId="458D595C" w14:textId="311C34BA" w:rsidTr="001F5B53">
        <w:tc>
          <w:tcPr>
            <w:cnfStyle w:val="001000000000" w:firstRow="0" w:lastRow="0" w:firstColumn="1" w:lastColumn="0" w:oddVBand="0" w:evenVBand="0" w:oddHBand="0" w:evenHBand="0" w:firstRowFirstColumn="0" w:firstRowLastColumn="0" w:lastRowFirstColumn="0" w:lastRowLastColumn="0"/>
            <w:tcW w:w="1555" w:type="dxa"/>
          </w:tcPr>
          <w:p w14:paraId="791A8F18"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Cs w:val="0"/>
                <w:snapToGrid w:val="0"/>
                <w:kern w:val="0"/>
                <w:lang w:val="en-US" w:eastAsia="de-DE" w:bidi="en-US"/>
              </w:rPr>
              <w:t>6</w:t>
            </w:r>
          </w:p>
        </w:tc>
        <w:tc>
          <w:tcPr>
            <w:tcW w:w="2126" w:type="dxa"/>
          </w:tcPr>
          <w:p w14:paraId="0AF07D3D"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w:t>
            </w:r>
          </w:p>
        </w:tc>
        <w:tc>
          <w:tcPr>
            <w:tcW w:w="2273" w:type="dxa"/>
          </w:tcPr>
          <w:p w14:paraId="470147D4"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27.94 ± 1.87</w:t>
            </w:r>
          </w:p>
        </w:tc>
        <w:tc>
          <w:tcPr>
            <w:tcW w:w="2268" w:type="dxa"/>
          </w:tcPr>
          <w:p w14:paraId="4F99B9DC" w14:textId="12696253"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18.18 ± 1.87</w:t>
            </w:r>
          </w:p>
        </w:tc>
        <w:tc>
          <w:tcPr>
            <w:tcW w:w="2268" w:type="dxa"/>
          </w:tcPr>
          <w:p w14:paraId="172D7279" w14:textId="5A79FC78"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t>1.53</w:t>
            </w:r>
          </w:p>
        </w:tc>
      </w:tr>
      <w:tr w:rsidR="00761191" w:rsidRPr="00CE50D8" w14:paraId="225DA079" w14:textId="0C95D34E"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AA9EA3F"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Cs w:val="0"/>
                <w:snapToGrid w:val="0"/>
                <w:kern w:val="0"/>
                <w:lang w:val="en-US" w:eastAsia="de-DE" w:bidi="en-US"/>
              </w:rPr>
              <w:t>7</w:t>
            </w:r>
          </w:p>
        </w:tc>
        <w:tc>
          <w:tcPr>
            <w:tcW w:w="2126" w:type="dxa"/>
          </w:tcPr>
          <w:p w14:paraId="438C6C32"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w:t>
            </w:r>
          </w:p>
        </w:tc>
        <w:tc>
          <w:tcPr>
            <w:tcW w:w="2273" w:type="dxa"/>
          </w:tcPr>
          <w:p w14:paraId="7D1F96EC"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33.22 ± 3.78</w:t>
            </w:r>
          </w:p>
        </w:tc>
        <w:tc>
          <w:tcPr>
            <w:tcW w:w="2268" w:type="dxa"/>
          </w:tcPr>
          <w:p w14:paraId="4FAE4F63" w14:textId="6FEDB8D4"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7.30 ± 1.16</w:t>
            </w:r>
          </w:p>
        </w:tc>
        <w:tc>
          <w:tcPr>
            <w:tcW w:w="2268" w:type="dxa"/>
          </w:tcPr>
          <w:p w14:paraId="3FEDD6FE" w14:textId="78BD5AAA"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t>4.55</w:t>
            </w:r>
          </w:p>
        </w:tc>
      </w:tr>
      <w:tr w:rsidR="00761191" w:rsidRPr="00CE50D8" w14:paraId="2BC3A54A" w14:textId="39336F37" w:rsidTr="001F5B53">
        <w:tc>
          <w:tcPr>
            <w:cnfStyle w:val="001000000000" w:firstRow="0" w:lastRow="0" w:firstColumn="1" w:lastColumn="0" w:oddVBand="0" w:evenVBand="0" w:oddHBand="0" w:evenHBand="0" w:firstRowFirstColumn="0" w:firstRowLastColumn="0" w:lastRowFirstColumn="0" w:lastRowLastColumn="0"/>
            <w:tcW w:w="1555" w:type="dxa"/>
          </w:tcPr>
          <w:p w14:paraId="7CE1FF65"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Cs w:val="0"/>
                <w:snapToGrid w:val="0"/>
                <w:kern w:val="0"/>
                <w:lang w:val="en-US" w:eastAsia="de-DE" w:bidi="en-US"/>
              </w:rPr>
              <w:t>8</w:t>
            </w:r>
          </w:p>
        </w:tc>
        <w:tc>
          <w:tcPr>
            <w:tcW w:w="2126" w:type="dxa"/>
          </w:tcPr>
          <w:p w14:paraId="050FC3CD"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w:t>
            </w:r>
          </w:p>
        </w:tc>
        <w:tc>
          <w:tcPr>
            <w:tcW w:w="2273" w:type="dxa"/>
          </w:tcPr>
          <w:p w14:paraId="48D7378F"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4.45 ± 1.53</w:t>
            </w:r>
          </w:p>
        </w:tc>
        <w:tc>
          <w:tcPr>
            <w:tcW w:w="2268" w:type="dxa"/>
          </w:tcPr>
          <w:p w14:paraId="406655E4" w14:textId="0DD8A371"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4.96 ± 2.86</w:t>
            </w:r>
          </w:p>
        </w:tc>
        <w:tc>
          <w:tcPr>
            <w:tcW w:w="2268" w:type="dxa"/>
          </w:tcPr>
          <w:p w14:paraId="037B499C" w14:textId="02BA01FE"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t>0.89</w:t>
            </w:r>
          </w:p>
        </w:tc>
      </w:tr>
      <w:tr w:rsidR="00761191" w:rsidRPr="00CE50D8" w14:paraId="1A3B75FB" w14:textId="6778632F"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BA8C387"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Cs w:val="0"/>
                <w:snapToGrid w:val="0"/>
                <w:kern w:val="0"/>
                <w:lang w:val="en-US" w:eastAsia="de-DE" w:bidi="en-US"/>
              </w:rPr>
              <w:t>9</w:t>
            </w:r>
          </w:p>
        </w:tc>
        <w:tc>
          <w:tcPr>
            <w:tcW w:w="2126" w:type="dxa"/>
          </w:tcPr>
          <w:p w14:paraId="6461DBFF"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inline distT="0" distB="0" distL="0" distR="0" wp14:anchorId="2F28CC87" wp14:editId="4B3B196E">
                  <wp:extent cx="1026160" cy="548640"/>
                  <wp:effectExtent l="0" t="0" r="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26160" cy="548640"/>
                          </a:xfrm>
                          <a:prstGeom prst="rect">
                            <a:avLst/>
                          </a:prstGeom>
                          <a:noFill/>
                          <a:ln>
                            <a:noFill/>
                          </a:ln>
                        </pic:spPr>
                      </pic:pic>
                    </a:graphicData>
                  </a:graphic>
                </wp:inline>
              </w:drawing>
            </w:r>
          </w:p>
        </w:tc>
        <w:tc>
          <w:tcPr>
            <w:tcW w:w="2273" w:type="dxa"/>
          </w:tcPr>
          <w:p w14:paraId="1941AA31"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62.84 ± 0.92</w:t>
            </w:r>
          </w:p>
          <w:p w14:paraId="072AEA81" w14:textId="69E7FFC3" w:rsidR="003F760F" w:rsidRPr="00CE50D8" w:rsidRDefault="003F760F" w:rsidP="00744220">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 xml:space="preserve">= </w:t>
            </w:r>
            <w:r w:rsidRPr="00CE50D8">
              <w:rPr>
                <w:rFonts w:ascii="Times New Roman" w:eastAsia="Times New Roman" w:hAnsi="Times New Roman" w:cs="Times New Roman"/>
                <w:snapToGrid w:val="0"/>
                <w:kern w:val="0"/>
                <w:lang w:eastAsia="de-DE" w:bidi="en-US"/>
              </w:rPr>
              <w:t xml:space="preserve">190.22 </w:t>
            </w:r>
            <w:r w:rsidRPr="00CE50D8">
              <w:rPr>
                <w:rFonts w:ascii="Times New Roman" w:eastAsia="Times New Roman" w:hAnsi="Times New Roman" w:cs="Times New Roman"/>
                <w:snapToGrid w:val="0"/>
                <w:kern w:val="0"/>
                <w:lang w:val="en-US" w:eastAsia="de-DE" w:bidi="en-US"/>
              </w:rPr>
              <w:t>±0.1)</w:t>
            </w:r>
          </w:p>
        </w:tc>
        <w:tc>
          <w:tcPr>
            <w:tcW w:w="2268" w:type="dxa"/>
          </w:tcPr>
          <w:p w14:paraId="7ABC4785" w14:textId="4B02D46E"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17.12 ± 1.19</w:t>
            </w:r>
          </w:p>
        </w:tc>
        <w:tc>
          <w:tcPr>
            <w:tcW w:w="2268" w:type="dxa"/>
          </w:tcPr>
          <w:p w14:paraId="1472FC08" w14:textId="2B8B3AA3"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t>3.67</w:t>
            </w:r>
          </w:p>
        </w:tc>
      </w:tr>
      <w:tr w:rsidR="00761191" w:rsidRPr="00CE50D8" w14:paraId="24AB2B6F" w14:textId="0D07D7C2" w:rsidTr="001F5B53">
        <w:tc>
          <w:tcPr>
            <w:cnfStyle w:val="001000000000" w:firstRow="0" w:lastRow="0" w:firstColumn="1" w:lastColumn="0" w:oddVBand="0" w:evenVBand="0" w:oddHBand="0" w:evenHBand="0" w:firstRowFirstColumn="0" w:firstRowLastColumn="0" w:lastRowFirstColumn="0" w:lastRowLastColumn="0"/>
            <w:tcW w:w="1555" w:type="dxa"/>
          </w:tcPr>
          <w:p w14:paraId="7629E510"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Cs w:val="0"/>
                <w:snapToGrid w:val="0"/>
                <w:kern w:val="0"/>
                <w:lang w:val="en-US" w:eastAsia="de-DE" w:bidi="en-US"/>
              </w:rPr>
              <w:t>Galantamine HBr (Reference drug)</w:t>
            </w:r>
          </w:p>
        </w:tc>
        <w:tc>
          <w:tcPr>
            <w:tcW w:w="2126" w:type="dxa"/>
          </w:tcPr>
          <w:p w14:paraId="40459092"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inline distT="0" distB="0" distL="0" distR="0" wp14:anchorId="354B6841" wp14:editId="28EB508B">
                  <wp:extent cx="843280" cy="736600"/>
                  <wp:effectExtent l="0" t="0" r="0"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43280" cy="736600"/>
                          </a:xfrm>
                          <a:prstGeom prst="rect">
                            <a:avLst/>
                          </a:prstGeom>
                          <a:noFill/>
                          <a:ln>
                            <a:noFill/>
                          </a:ln>
                        </pic:spPr>
                      </pic:pic>
                    </a:graphicData>
                  </a:graphic>
                </wp:inline>
              </w:drawing>
            </w:r>
          </w:p>
        </w:tc>
        <w:tc>
          <w:tcPr>
            <w:tcW w:w="2273" w:type="dxa"/>
          </w:tcPr>
          <w:p w14:paraId="5CBB7B9E"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92.14±2.49</w:t>
            </w:r>
          </w:p>
          <w:p w14:paraId="614D6049" w14:textId="7CC64A51" w:rsidR="003F760F" w:rsidRPr="00CE50D8" w:rsidRDefault="003F760F" w:rsidP="00744220">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 xml:space="preserve">= </w:t>
            </w:r>
            <w:r w:rsidRPr="00CE50D8">
              <w:rPr>
                <w:rFonts w:ascii="Times New Roman" w:eastAsia="Times New Roman" w:hAnsi="Times New Roman" w:cs="Times New Roman"/>
                <w:snapToGrid w:val="0"/>
                <w:kern w:val="0"/>
                <w:lang w:val="en-IN" w:eastAsia="de-DE" w:bidi="en-US"/>
              </w:rPr>
              <w:t>2.52</w:t>
            </w:r>
            <w:r w:rsidR="00744220" w:rsidRPr="00CE50D8">
              <w:rPr>
                <w:rFonts w:ascii="Times New Roman" w:eastAsia="Times New Roman" w:hAnsi="Times New Roman" w:cs="Times New Roman"/>
                <w:snapToGrid w:val="0"/>
                <w:kern w:val="0"/>
                <w:lang w:val="en-IN" w:eastAsia="de-DE" w:bidi="en-US"/>
              </w:rPr>
              <w:t xml:space="preserve"> </w:t>
            </w:r>
            <w:r w:rsidRPr="00CE50D8">
              <w:rPr>
                <w:rFonts w:ascii="Times New Roman" w:eastAsia="Times New Roman" w:hAnsi="Times New Roman" w:cs="Times New Roman"/>
                <w:snapToGrid w:val="0"/>
                <w:kern w:val="0"/>
                <w:lang w:val="en-IN" w:eastAsia="de-DE" w:bidi="en-US"/>
              </w:rPr>
              <w:t>±</w:t>
            </w:r>
            <w:r w:rsidR="00744220" w:rsidRPr="00CE50D8">
              <w:rPr>
                <w:rFonts w:ascii="Times New Roman" w:eastAsia="Times New Roman" w:hAnsi="Times New Roman" w:cs="Times New Roman"/>
                <w:snapToGrid w:val="0"/>
                <w:kern w:val="0"/>
                <w:lang w:val="en-IN" w:eastAsia="de-DE" w:bidi="en-US"/>
              </w:rPr>
              <w:t xml:space="preserve"> </w:t>
            </w:r>
            <w:r w:rsidRPr="00CE50D8">
              <w:rPr>
                <w:rFonts w:ascii="Times New Roman" w:eastAsia="Times New Roman" w:hAnsi="Times New Roman" w:cs="Times New Roman"/>
                <w:snapToGrid w:val="0"/>
                <w:kern w:val="0"/>
                <w:lang w:val="en-IN" w:eastAsia="de-DE" w:bidi="en-US"/>
              </w:rPr>
              <w:t>0.15</w:t>
            </w:r>
            <w:r w:rsidRPr="00CE50D8">
              <w:rPr>
                <w:rFonts w:ascii="Times New Roman" w:eastAsia="Times New Roman" w:hAnsi="Times New Roman" w:cs="Times New Roman"/>
                <w:snapToGrid w:val="0"/>
                <w:kern w:val="0"/>
                <w:lang w:val="en-US" w:eastAsia="de-DE" w:bidi="en-US"/>
              </w:rPr>
              <w:t>)</w:t>
            </w:r>
          </w:p>
        </w:tc>
        <w:tc>
          <w:tcPr>
            <w:tcW w:w="2268" w:type="dxa"/>
          </w:tcPr>
          <w:p w14:paraId="3EDE9640" w14:textId="77777777"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81.93±2.52</w:t>
            </w:r>
          </w:p>
          <w:p w14:paraId="2DC4566E" w14:textId="028E2C8E" w:rsidR="003F760F" w:rsidRPr="00CE50D8" w:rsidRDefault="003F760F" w:rsidP="00744220">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w:t>
            </w:r>
            <w:r w:rsidR="00744220" w:rsidRPr="00CE50D8">
              <w:rPr>
                <w:rFonts w:ascii="Times New Roman" w:eastAsia="Times New Roman" w:hAnsi="Times New Roman" w:cs="Times New Roman"/>
                <w:snapToGrid w:val="0"/>
                <w:kern w:val="0"/>
                <w:lang w:val="en-US" w:eastAsia="de-DE" w:bidi="en-US"/>
              </w:rPr>
              <w:t xml:space="preserve"> </w:t>
            </w:r>
            <w:r w:rsidRPr="00CE50D8">
              <w:rPr>
                <w:szCs w:val="20"/>
              </w:rPr>
              <w:t>46.58</w:t>
            </w:r>
            <w:r w:rsidRPr="00CE50D8">
              <w:rPr>
                <w:rFonts w:cstheme="minorHAnsi"/>
                <w:szCs w:val="20"/>
              </w:rPr>
              <w:t>±</w:t>
            </w:r>
            <w:r w:rsidRPr="00CE50D8">
              <w:rPr>
                <w:szCs w:val="20"/>
              </w:rPr>
              <w:t>0.91</w:t>
            </w:r>
            <w:r w:rsidRPr="00CE50D8">
              <w:rPr>
                <w:rFonts w:ascii="Times New Roman" w:eastAsia="Times New Roman" w:hAnsi="Times New Roman" w:cs="Times New Roman"/>
                <w:snapToGrid w:val="0"/>
                <w:kern w:val="0"/>
                <w:lang w:val="en-US" w:eastAsia="de-DE" w:bidi="en-US"/>
              </w:rPr>
              <w:t>)</w:t>
            </w:r>
          </w:p>
        </w:tc>
        <w:tc>
          <w:tcPr>
            <w:tcW w:w="2268" w:type="dxa"/>
          </w:tcPr>
          <w:p w14:paraId="7073C721" w14:textId="1E8CC34B" w:rsidR="003F760F" w:rsidRPr="00CE50D8" w:rsidRDefault="003F760F" w:rsidP="003F760F">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t>2.51</w:t>
            </w:r>
          </w:p>
        </w:tc>
      </w:tr>
    </w:tbl>
    <w:p w14:paraId="04F3E9D5" w14:textId="77777777" w:rsidR="00221BA9" w:rsidRPr="00CE50D8" w:rsidRDefault="001A0A0E">
      <w:pPr>
        <w:widowControl/>
        <w:spacing w:line="480" w:lineRule="auto"/>
        <w:rPr>
          <w:rFonts w:ascii="Times New Roman" w:eastAsia="Times New Roman" w:hAnsi="Times New Roman" w:cs="Times New Roman"/>
        </w:rPr>
      </w:pPr>
      <w:r w:rsidRPr="00CE50D8">
        <w:rPr>
          <w:rFonts w:ascii="Times New Roman" w:eastAsia="Times New Roman" w:hAnsi="Times New Roman" w:cs="Times New Roman"/>
        </w:rPr>
        <w:t>*: Standard deviation; **: No inhibition; ***: Confidential structure</w:t>
      </w:r>
    </w:p>
    <w:p w14:paraId="1C5E523E" w14:textId="77777777" w:rsidR="00221BA9" w:rsidRPr="00CE50D8" w:rsidRDefault="001A0A0E">
      <w:pPr>
        <w:widowControl/>
        <w:spacing w:before="240" w:after="120" w:line="480" w:lineRule="auto"/>
        <w:rPr>
          <w:rFonts w:ascii="Times New Roman" w:eastAsia="Times New Roman" w:hAnsi="Times New Roman" w:cs="Times New Roman"/>
          <w:i/>
        </w:rPr>
      </w:pPr>
      <w:r w:rsidRPr="00CE50D8">
        <w:rPr>
          <w:rFonts w:ascii="Times New Roman" w:eastAsia="Times New Roman" w:hAnsi="Times New Roman" w:cs="Times New Roman"/>
          <w:i/>
        </w:rPr>
        <w:t xml:space="preserve">Lead optimization </w:t>
      </w:r>
    </w:p>
    <w:p w14:paraId="6985E166" w14:textId="71A86435" w:rsidR="00221BA9" w:rsidRPr="00CE50D8" w:rsidRDefault="001A0A0E">
      <w:pPr>
        <w:widowControl/>
        <w:spacing w:line="480" w:lineRule="auto"/>
        <w:jc w:val="both"/>
        <w:rPr>
          <w:rFonts w:ascii="Times New Roman" w:eastAsia="Times New Roman" w:hAnsi="Times New Roman" w:cs="Times New Roman"/>
          <w:i/>
        </w:rPr>
      </w:pPr>
      <w:r w:rsidRPr="00CE50D8">
        <w:rPr>
          <w:rFonts w:ascii="Times New Roman" w:eastAsia="Times New Roman" w:hAnsi="Times New Roman" w:cs="Times New Roman"/>
        </w:rPr>
        <w:t xml:space="preserve">The inhibitory activities of the selected compounds have been verified by using </w:t>
      </w:r>
      <w:r w:rsidRPr="00CE50D8">
        <w:rPr>
          <w:rFonts w:ascii="Times New Roman" w:eastAsia="Times New Roman" w:hAnsi="Times New Roman" w:cs="Times New Roman"/>
          <w:i/>
          <w:iCs/>
        </w:rPr>
        <w:t>in vitro</w:t>
      </w:r>
      <w:r w:rsidRPr="00CE50D8">
        <w:rPr>
          <w:rFonts w:ascii="Times New Roman" w:eastAsia="Times New Roman" w:hAnsi="Times New Roman" w:cs="Times New Roman"/>
        </w:rPr>
        <w:t xml:space="preserve"> bioassay. Compounds 1-8 showed very low inhibition ability for both the cholinesterases, Acetylcholinesterase (AChE) and Butyrylcholinesterase (BChE). IC</w:t>
      </w:r>
      <w:r w:rsidRPr="00CE50D8">
        <w:rPr>
          <w:rFonts w:ascii="Times New Roman" w:eastAsia="Times New Roman" w:hAnsi="Times New Roman" w:cs="Times New Roman"/>
          <w:vertAlign w:val="subscript"/>
        </w:rPr>
        <w:t>50</w:t>
      </w:r>
      <w:r w:rsidRPr="00CE50D8">
        <w:rPr>
          <w:rFonts w:ascii="Times New Roman" w:eastAsia="Times New Roman" w:hAnsi="Times New Roman" w:cs="Times New Roman"/>
        </w:rPr>
        <w:t xml:space="preserve"> values were calculated only for compounds with an inhibition activity above 50%. Compound 9 ((R)-2-(2-(hydroxymethyl)pyrrolidin-1-yl)-2'-methyl-[4,5'-bipyrimidin]-4'(3'H)-one) exhibits a promising inhibit</w:t>
      </w:r>
      <w:r w:rsidR="000D19C5" w:rsidRPr="00CE50D8">
        <w:rPr>
          <w:rFonts w:ascii="Times New Roman" w:eastAsia="Times New Roman" w:hAnsi="Times New Roman" w:cs="Times New Roman"/>
        </w:rPr>
        <w:t>ory</w:t>
      </w:r>
      <w:r w:rsidRPr="00CE50D8">
        <w:rPr>
          <w:rFonts w:ascii="Times New Roman" w:eastAsia="Times New Roman" w:hAnsi="Times New Roman" w:cs="Times New Roman"/>
        </w:rPr>
        <w:t xml:space="preserve"> activity for AChE, although its IC</w:t>
      </w:r>
      <w:r w:rsidRPr="00CE50D8">
        <w:rPr>
          <w:rFonts w:ascii="Times New Roman" w:eastAsia="Times New Roman" w:hAnsi="Times New Roman" w:cs="Times New Roman"/>
          <w:vertAlign w:val="subscript"/>
        </w:rPr>
        <w:t>50</w:t>
      </w:r>
      <w:r w:rsidRPr="00CE50D8">
        <w:rPr>
          <w:rFonts w:ascii="Times New Roman" w:eastAsia="Times New Roman" w:hAnsi="Times New Roman" w:cs="Times New Roman"/>
        </w:rPr>
        <w:t xml:space="preserve"> was still far from that of the reference compound, galantamine, a well-known FDA approved AChEI. However, its selectivity is better </w:t>
      </w:r>
      <w:r w:rsidRPr="00CE50D8">
        <w:rPr>
          <w:rFonts w:ascii="Times New Roman" w:eastAsia="Times New Roman" w:hAnsi="Times New Roman" w:cs="Times New Roman"/>
        </w:rPr>
        <w:lastRenderedPageBreak/>
        <w:t xml:space="preserve">than galanthamine. Molecular docking followed by pharmacophore fitting of the docked pose of compound 9 (green) to the pharmacophore model of rivastigmine (blue) shows that the binding of the compound to the AChE active site is nearly identical to the known drug, rivastigmine. Compound matches three out of the four features, namely the aryl, hydrophobic and hydrogen bond acceptor groups (Figure 2). </w:t>
      </w:r>
    </w:p>
    <w:p w14:paraId="5024EDD4" w14:textId="77777777" w:rsidR="00221BA9" w:rsidRPr="00CE50D8" w:rsidRDefault="001A0A0E">
      <w:pPr>
        <w:widowControl/>
        <w:spacing w:line="480" w:lineRule="auto"/>
        <w:jc w:val="center"/>
        <w:rPr>
          <w:rFonts w:ascii="Times New Roman" w:eastAsia="Times New Roman" w:hAnsi="Times New Roman" w:cs="Times New Roman"/>
        </w:rPr>
      </w:pPr>
      <w:r w:rsidRPr="00CE50D8">
        <w:rPr>
          <w:rFonts w:ascii="Times New Roman" w:eastAsia="Times New Roman" w:hAnsi="Times New Roman" w:cs="Times New Roman"/>
          <w:noProof/>
        </w:rPr>
        <w:drawing>
          <wp:inline distT="0" distB="0" distL="0" distR="0" wp14:anchorId="39AC90F7" wp14:editId="66B49C07">
            <wp:extent cx="3248025" cy="2181225"/>
            <wp:effectExtent l="0" t="0" r="9525" b="9525"/>
            <wp:docPr id="7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3"/>
                    <a:srcRect/>
                    <a:stretch>
                      <a:fillRect/>
                    </a:stretch>
                  </pic:blipFill>
                  <pic:spPr>
                    <a:xfrm>
                      <a:off x="0" y="0"/>
                      <a:ext cx="3256508" cy="2186922"/>
                    </a:xfrm>
                    <a:prstGeom prst="rect">
                      <a:avLst/>
                    </a:prstGeom>
                    <a:ln/>
                  </pic:spPr>
                </pic:pic>
              </a:graphicData>
            </a:graphic>
          </wp:inline>
        </w:drawing>
      </w:r>
    </w:p>
    <w:p w14:paraId="33C4CDCF" w14:textId="6285D536" w:rsidR="00221BA9" w:rsidRPr="00CE50D8" w:rsidRDefault="001A0A0E">
      <w:pPr>
        <w:widowControl/>
        <w:spacing w:before="120" w:after="240" w:line="480" w:lineRule="auto"/>
        <w:ind w:right="425"/>
        <w:jc w:val="both"/>
        <w:rPr>
          <w:rFonts w:ascii="Times New Roman" w:eastAsia="Times New Roman" w:hAnsi="Times New Roman" w:cs="Times New Roman"/>
          <w:i/>
        </w:rPr>
      </w:pPr>
      <w:r w:rsidRPr="00CE50D8">
        <w:rPr>
          <w:rFonts w:ascii="Times New Roman" w:eastAsia="Times New Roman" w:hAnsi="Times New Roman" w:cs="Times New Roman"/>
          <w:b/>
          <w:i/>
        </w:rPr>
        <w:t xml:space="preserve">Figure 2. </w:t>
      </w:r>
      <w:r w:rsidRPr="00CE50D8">
        <w:rPr>
          <w:rFonts w:ascii="Times New Roman" w:eastAsia="Times New Roman" w:hAnsi="Times New Roman" w:cs="Times New Roman"/>
        </w:rPr>
        <w:t>Fitting of the docked pose of compound 9 (green) to the pharmacophore model of bound rivastigmine (</w:t>
      </w:r>
      <w:r w:rsidR="00774A83" w:rsidRPr="00CE50D8">
        <w:rPr>
          <w:rFonts w:ascii="Times New Roman" w:eastAsia="Times New Roman" w:hAnsi="Times New Roman" w:cs="Times New Roman"/>
        </w:rPr>
        <w:t xml:space="preserve">light </w:t>
      </w:r>
      <w:r w:rsidRPr="00CE50D8">
        <w:rPr>
          <w:rFonts w:ascii="Times New Roman" w:eastAsia="Times New Roman" w:hAnsi="Times New Roman" w:cs="Times New Roman"/>
        </w:rPr>
        <w:t>blue). Pharmacophoric groups are highlighted.</w:t>
      </w:r>
    </w:p>
    <w:p w14:paraId="4E992A2E" w14:textId="77777777" w:rsidR="00221BA9" w:rsidRPr="00CE50D8" w:rsidRDefault="00221BA9" w:rsidP="00774A83">
      <w:pPr>
        <w:widowControl/>
        <w:spacing w:line="480" w:lineRule="auto"/>
        <w:rPr>
          <w:rFonts w:ascii="Times New Roman" w:eastAsia="Times New Roman" w:hAnsi="Times New Roman" w:cs="Times New Roman"/>
        </w:rPr>
      </w:pPr>
    </w:p>
    <w:p w14:paraId="64F41740" w14:textId="6609CCBA" w:rsidR="00221BA9" w:rsidRPr="00CE50D8" w:rsidRDefault="001A0A0E">
      <w:pPr>
        <w:widowControl/>
        <w:spacing w:line="480" w:lineRule="auto"/>
        <w:jc w:val="both"/>
        <w:rPr>
          <w:rFonts w:ascii="Times New Roman" w:eastAsia="Times New Roman" w:hAnsi="Times New Roman" w:cs="Times New Roman"/>
          <w:i/>
        </w:rPr>
      </w:pPr>
      <w:r w:rsidRPr="00CE50D8">
        <w:rPr>
          <w:rFonts w:ascii="Times New Roman" w:eastAsia="Times New Roman" w:hAnsi="Times New Roman" w:cs="Times New Roman"/>
        </w:rPr>
        <w:t xml:space="preserve">Villapharma chemical library contains several analogs for each compound. Therefore, a lead optimization using substructure similarity search has been performed in the chemical library to mine new hits using the scaffold of the primary hit, compound 9. Twenty four new hits have been identified with the scaffold of compound 9. These new molecules have been tested to measure their cholinesterase inhibitory activities (inhibition data are shown in Table 2). Among these, three molecules, 10b, 10h, 10i show inhibition ability comparable to the reference compound galantamine, as evident from Figure </w:t>
      </w:r>
      <w:r w:rsidR="00774A83" w:rsidRPr="00CE50D8">
        <w:rPr>
          <w:rFonts w:ascii="Times New Roman" w:eastAsia="Times New Roman" w:hAnsi="Times New Roman" w:cs="Times New Roman"/>
        </w:rPr>
        <w:t>3</w:t>
      </w:r>
      <w:r w:rsidRPr="00CE50D8">
        <w:rPr>
          <w:rFonts w:ascii="Times New Roman" w:eastAsia="Times New Roman" w:hAnsi="Times New Roman" w:cs="Times New Roman"/>
        </w:rPr>
        <w:t>. Additionally, these compounds are selective to AChE, even the selectivity is better than the known inhibitor</w:t>
      </w:r>
      <w:r w:rsidR="00774A83" w:rsidRPr="00CE50D8">
        <w:rPr>
          <w:rFonts w:ascii="Times New Roman" w:eastAsia="Times New Roman" w:hAnsi="Times New Roman" w:cs="Times New Roman"/>
        </w:rPr>
        <w:t>,</w:t>
      </w:r>
      <w:r w:rsidRPr="00CE50D8">
        <w:rPr>
          <w:rFonts w:ascii="Times New Roman" w:eastAsia="Times New Roman" w:hAnsi="Times New Roman" w:cs="Times New Roman"/>
        </w:rPr>
        <w:t xml:space="preserve"> galantamine.</w:t>
      </w:r>
    </w:p>
    <w:p w14:paraId="032CEBB6" w14:textId="77777777" w:rsidR="00221BA9" w:rsidRPr="00CE50D8" w:rsidRDefault="001A0A0E">
      <w:pPr>
        <w:widowControl/>
        <w:spacing w:line="480" w:lineRule="auto"/>
        <w:jc w:val="center"/>
        <w:rPr>
          <w:rFonts w:ascii="Times New Roman" w:eastAsia="Times New Roman" w:hAnsi="Times New Roman" w:cs="Times New Roman"/>
        </w:rPr>
      </w:pPr>
      <w:r w:rsidRPr="00CE50D8">
        <w:rPr>
          <w:rFonts w:ascii="Times New Roman" w:eastAsia="Times New Roman" w:hAnsi="Times New Roman" w:cs="Times New Roman"/>
          <w:noProof/>
        </w:rPr>
        <w:lastRenderedPageBreak/>
        <w:drawing>
          <wp:inline distT="0" distB="0" distL="0" distR="0" wp14:anchorId="35BC7073" wp14:editId="1932C518">
            <wp:extent cx="4990753" cy="3307387"/>
            <wp:effectExtent l="0" t="0" r="0" b="0"/>
            <wp:docPr id="74" name="image20.png" descr="Fig_4"/>
            <wp:cNvGraphicFramePr/>
            <a:graphic xmlns:a="http://schemas.openxmlformats.org/drawingml/2006/main">
              <a:graphicData uri="http://schemas.openxmlformats.org/drawingml/2006/picture">
                <pic:pic xmlns:pic="http://schemas.openxmlformats.org/drawingml/2006/picture">
                  <pic:nvPicPr>
                    <pic:cNvPr id="0" name="image20.png" descr="Fig_4"/>
                    <pic:cNvPicPr preferRelativeResize="0"/>
                  </pic:nvPicPr>
                  <pic:blipFill>
                    <a:blip r:embed="rId24"/>
                    <a:srcRect/>
                    <a:stretch>
                      <a:fillRect/>
                    </a:stretch>
                  </pic:blipFill>
                  <pic:spPr>
                    <a:xfrm>
                      <a:off x="0" y="0"/>
                      <a:ext cx="4990753" cy="3307387"/>
                    </a:xfrm>
                    <a:prstGeom prst="rect">
                      <a:avLst/>
                    </a:prstGeom>
                    <a:ln/>
                  </pic:spPr>
                </pic:pic>
              </a:graphicData>
            </a:graphic>
          </wp:inline>
        </w:drawing>
      </w:r>
    </w:p>
    <w:p w14:paraId="6D5B6973" w14:textId="42D06F2E" w:rsidR="00221BA9" w:rsidRPr="00CE50D8" w:rsidRDefault="001A0A0E">
      <w:pPr>
        <w:widowControl/>
        <w:spacing w:before="120" w:after="240" w:line="480" w:lineRule="auto"/>
        <w:ind w:right="425"/>
        <w:jc w:val="both"/>
        <w:rPr>
          <w:rFonts w:ascii="Times New Roman" w:eastAsia="Times New Roman" w:hAnsi="Times New Roman" w:cs="Times New Roman"/>
        </w:rPr>
      </w:pPr>
      <w:r w:rsidRPr="00CE50D8">
        <w:rPr>
          <w:rFonts w:ascii="Times New Roman" w:eastAsia="Times New Roman" w:hAnsi="Times New Roman" w:cs="Times New Roman"/>
          <w:b/>
          <w:i/>
        </w:rPr>
        <w:t xml:space="preserve">Figure </w:t>
      </w:r>
      <w:r w:rsidR="00774A83" w:rsidRPr="00CE50D8">
        <w:rPr>
          <w:rFonts w:ascii="Times New Roman" w:eastAsia="Times New Roman" w:hAnsi="Times New Roman" w:cs="Times New Roman"/>
          <w:b/>
          <w:i/>
        </w:rPr>
        <w:t>3</w:t>
      </w:r>
      <w:r w:rsidRPr="00CE50D8">
        <w:rPr>
          <w:rFonts w:ascii="Times New Roman" w:eastAsia="Times New Roman" w:hAnsi="Times New Roman" w:cs="Times New Roman"/>
          <w:b/>
          <w:i/>
        </w:rPr>
        <w:t xml:space="preserve">. </w:t>
      </w:r>
      <w:r w:rsidRPr="00CE50D8">
        <w:rPr>
          <w:rFonts w:ascii="Times New Roman" w:eastAsia="Times New Roman" w:hAnsi="Times New Roman" w:cs="Times New Roman"/>
        </w:rPr>
        <w:t>AChE inhibition curves for the 3 most potent inhibitors of the series and galantamine HBr are shown.</w:t>
      </w:r>
    </w:p>
    <w:p w14:paraId="51461778" w14:textId="77777777" w:rsidR="00774A83" w:rsidRPr="00CE50D8" w:rsidRDefault="00774A83">
      <w:pPr>
        <w:widowControl/>
        <w:spacing w:before="120" w:after="240" w:line="480" w:lineRule="auto"/>
        <w:ind w:right="425"/>
        <w:jc w:val="both"/>
        <w:rPr>
          <w:rFonts w:ascii="Times New Roman" w:eastAsia="Times New Roman" w:hAnsi="Times New Roman" w:cs="Times New Roman"/>
        </w:rPr>
      </w:pPr>
    </w:p>
    <w:p w14:paraId="595B113F" w14:textId="2F5DF6C3" w:rsidR="00221BA9" w:rsidRPr="00CE50D8" w:rsidRDefault="001A0A0E">
      <w:pPr>
        <w:widowControl/>
        <w:spacing w:before="240" w:after="120" w:line="480" w:lineRule="auto"/>
        <w:ind w:right="425"/>
        <w:jc w:val="both"/>
        <w:rPr>
          <w:rFonts w:ascii="Times New Roman" w:eastAsia="Times New Roman" w:hAnsi="Times New Roman" w:cs="Times New Roman"/>
        </w:rPr>
      </w:pPr>
      <w:r w:rsidRPr="00CE50D8">
        <w:rPr>
          <w:rFonts w:ascii="Times New Roman" w:eastAsia="Times New Roman" w:hAnsi="Times New Roman" w:cs="Times New Roman"/>
          <w:b/>
          <w:i/>
        </w:rPr>
        <w:t xml:space="preserve">Table </w:t>
      </w:r>
      <w:r w:rsidR="00774A83" w:rsidRPr="00CE50D8">
        <w:rPr>
          <w:rFonts w:ascii="Times New Roman" w:eastAsia="Times New Roman" w:hAnsi="Times New Roman" w:cs="Times New Roman"/>
          <w:b/>
          <w:i/>
        </w:rPr>
        <w:t>2</w:t>
      </w:r>
      <w:r w:rsidRPr="00CE50D8">
        <w:rPr>
          <w:rFonts w:ascii="Times New Roman" w:eastAsia="Times New Roman" w:hAnsi="Times New Roman" w:cs="Times New Roman"/>
          <w:b/>
          <w:i/>
        </w:rPr>
        <w:t xml:space="preserve">. </w:t>
      </w:r>
      <w:r w:rsidRPr="00CE50D8">
        <w:rPr>
          <w:rFonts w:ascii="Times New Roman" w:eastAsia="Times New Roman" w:hAnsi="Times New Roman" w:cs="Times New Roman"/>
        </w:rPr>
        <w:t>Inhibitory activity for AChE and BChE of compounds extracted by using the scaffold of compound 9.</w:t>
      </w:r>
    </w:p>
    <w:tbl>
      <w:tblPr>
        <w:tblStyle w:val="PlainTable2"/>
        <w:tblW w:w="9492" w:type="dxa"/>
        <w:tblLayout w:type="fixed"/>
        <w:tblLook w:val="04A0" w:firstRow="1" w:lastRow="0" w:firstColumn="1" w:lastColumn="0" w:noHBand="0" w:noVBand="1"/>
      </w:tblPr>
      <w:tblGrid>
        <w:gridCol w:w="1413"/>
        <w:gridCol w:w="2126"/>
        <w:gridCol w:w="2126"/>
        <w:gridCol w:w="2127"/>
        <w:gridCol w:w="1700"/>
      </w:tblGrid>
      <w:tr w:rsidR="00761191" w:rsidRPr="00CE50D8" w14:paraId="30C38B36" w14:textId="53F1B73B" w:rsidTr="001F5B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2" w:type="dxa"/>
            <w:gridSpan w:val="5"/>
          </w:tcPr>
          <w:p w14:paraId="7B0F45AC" w14:textId="6196ED64" w:rsidR="00DE0343" w:rsidRPr="00CE50D8" w:rsidRDefault="000C05C3" w:rsidP="004C47B2">
            <w:pPr>
              <w:widowControl/>
              <w:suppressAutoHyphens w:val="0"/>
              <w:kinsoku w:val="0"/>
              <w:overflowPunct w:val="0"/>
              <w:autoSpaceDE w:val="0"/>
              <w:autoSpaceDN w:val="0"/>
              <w:adjustRightInd w:val="0"/>
              <w:snapToGrid w:val="0"/>
              <w:spacing w:before="240" w:after="120" w:line="480" w:lineRule="auto"/>
              <w:outlineLvl w:val="1"/>
              <w:rPr>
                <w:rFonts w:ascii="Times New Roman" w:eastAsia="Times New Roman" w:hAnsi="Times New Roman" w:cs="Times New Roman"/>
                <w:i/>
                <w:noProof/>
                <w:snapToGrid w:val="0"/>
                <w:kern w:val="0"/>
                <w:lang w:val="en-US" w:eastAsia="de-DE" w:bidi="en-US"/>
              </w:rPr>
            </w:pPr>
            <w:r w:rsidRPr="000C05C3">
              <w:rPr>
                <w:rFonts w:ascii="Times New Roman" w:eastAsia="Times New Roman" w:hAnsi="Times New Roman" w:cs="Times New Roman"/>
                <w:b w:val="0"/>
                <w:i/>
                <w:noProof/>
                <w:kern w:val="0"/>
                <w:lang w:val="en-US" w:eastAsia="de-DE" w:bidi="en-US"/>
              </w:rPr>
              <w:object w:dxaOrig="11335" w:dyaOrig="2278" w14:anchorId="6C370EAA">
                <v:shape id="_x0000_i1026" type="#_x0000_t75" alt="" style="width:466.65pt;height:100.45pt;mso-width-percent:0;mso-height-percent:0;mso-width-percent:0;mso-height-percent:0" o:ole="">
                  <v:imagedata r:id="rId25" o:title=""/>
                </v:shape>
                <o:OLEObject Type="Embed" ProgID="ChemDraw.Document.6.0" ShapeID="_x0000_i1026" DrawAspect="Content" ObjectID="_1833369587" r:id="rId26"/>
              </w:object>
            </w:r>
          </w:p>
        </w:tc>
      </w:tr>
      <w:tr w:rsidR="00761191" w:rsidRPr="00CE50D8" w14:paraId="0F94F864" w14:textId="13F0BF43"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8C06D62" w14:textId="11D0CD70" w:rsidR="00DE0343" w:rsidRPr="00CE50D8" w:rsidRDefault="00DE0343" w:rsidP="00DE0343">
            <w:pPr>
              <w:widowControl/>
              <w:suppressAutoHyphens w:val="0"/>
              <w:kinsoku w:val="0"/>
              <w:overflowPunct w:val="0"/>
              <w:autoSpaceDE w:val="0"/>
              <w:autoSpaceDN w:val="0"/>
              <w:adjustRightInd w:val="0"/>
              <w:snapToGrid w:val="0"/>
              <w:spacing w:line="480" w:lineRule="auto"/>
              <w:jc w:val="center"/>
              <w:outlineLvl w:val="1"/>
              <w:rPr>
                <w:rFonts w:ascii="Times New Roman" w:eastAsia="Times New Roman" w:hAnsi="Times New Roman" w:cs="Times New Roman"/>
                <w:b w:val="0"/>
                <w:bCs w:val="0"/>
                <w:snapToGrid w:val="0"/>
                <w:kern w:val="0"/>
                <w:lang w:val="en-US" w:eastAsia="de-DE" w:bidi="en-US"/>
              </w:rPr>
            </w:pPr>
            <w:r w:rsidRPr="00CE50D8">
              <w:rPr>
                <w:rFonts w:ascii="Times New Roman" w:eastAsia="Times New Roman" w:hAnsi="Times New Roman" w:cs="Times New Roman"/>
                <w:b w:val="0"/>
                <w:bCs w:val="0"/>
                <w:snapToGrid w:val="0"/>
                <w:kern w:val="0"/>
                <w:lang w:val="en-US" w:eastAsia="de-DE" w:bidi="en-US"/>
              </w:rPr>
              <w:t>Compound ID</w:t>
            </w:r>
          </w:p>
        </w:tc>
        <w:tc>
          <w:tcPr>
            <w:tcW w:w="2126" w:type="dxa"/>
          </w:tcPr>
          <w:p w14:paraId="69312F7A"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napToGrid w:val="0"/>
                <w:kern w:val="0"/>
                <w:lang w:val="en-US" w:eastAsia="de-DE" w:bidi="en-US"/>
              </w:rPr>
            </w:pPr>
            <w:r w:rsidRPr="00CE50D8">
              <w:rPr>
                <w:rFonts w:ascii="Times New Roman" w:eastAsia="Times New Roman" w:hAnsi="Times New Roman" w:cs="Times New Roman"/>
                <w:bCs/>
                <w:snapToGrid w:val="0"/>
                <w:kern w:val="0"/>
                <w:lang w:val="en-US" w:eastAsia="de-DE" w:bidi="en-US"/>
              </w:rPr>
              <w:t>R groups</w:t>
            </w:r>
          </w:p>
        </w:tc>
        <w:tc>
          <w:tcPr>
            <w:tcW w:w="2126" w:type="dxa"/>
          </w:tcPr>
          <w:p w14:paraId="1EF74439"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napToGrid w:val="0"/>
                <w:kern w:val="0"/>
                <w:lang w:val="en-US" w:eastAsia="de-DE" w:bidi="en-US"/>
              </w:rPr>
            </w:pPr>
            <w:r w:rsidRPr="00CE50D8">
              <w:rPr>
                <w:rFonts w:ascii="Times New Roman" w:eastAsia="Times New Roman" w:hAnsi="Times New Roman" w:cs="Times New Roman"/>
                <w:bCs/>
                <w:snapToGrid w:val="0"/>
                <w:kern w:val="0"/>
                <w:lang w:val="en-US" w:eastAsia="de-DE" w:bidi="en-US"/>
              </w:rPr>
              <w:t>AChE Inhibition</w:t>
            </w:r>
          </w:p>
          <w:p w14:paraId="0F00FD93" w14:textId="37E365A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napToGrid w:val="0"/>
                <w:kern w:val="0"/>
                <w:lang w:val="en-US" w:eastAsia="de-DE" w:bidi="en-US"/>
              </w:rPr>
            </w:pPr>
            <w:r w:rsidRPr="00CE50D8">
              <w:rPr>
                <w:rFonts w:ascii="Times New Roman" w:eastAsia="Times New Roman" w:hAnsi="Times New Roman" w:cs="Times New Roman"/>
                <w:bCs/>
                <w:snapToGrid w:val="0"/>
                <w:kern w:val="0"/>
                <w:lang w:val="en-US" w:eastAsia="de-DE" w:bidi="en-US"/>
              </w:rPr>
              <w:t>(% ± S.D.*)</w:t>
            </w:r>
          </w:p>
          <w:p w14:paraId="11DBE00B"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napToGrid w:val="0"/>
                <w:kern w:val="0"/>
                <w:lang w:val="en-US" w:eastAsia="de-DE" w:bidi="en-US"/>
              </w:rPr>
            </w:pPr>
            <w:r w:rsidRPr="00CE50D8">
              <w:rPr>
                <w:rFonts w:ascii="Times New Roman" w:eastAsia="Times New Roman" w:hAnsi="Times New Roman" w:cs="Times New Roman"/>
                <w:bCs/>
                <w:snapToGrid w:val="0"/>
                <w:kern w:val="0"/>
                <w:lang w:val="en-US" w:eastAsia="de-DE" w:bidi="en-US"/>
              </w:rPr>
              <w:t>100 µg/ml</w:t>
            </w:r>
          </w:p>
          <w:p w14:paraId="663F4628" w14:textId="7199C6ED" w:rsidR="00166224" w:rsidRPr="00CE50D8" w:rsidRDefault="00166224"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napToGrid w:val="0"/>
                <w:kern w:val="0"/>
                <w:lang w:val="en-US" w:eastAsia="de-DE" w:bidi="en-US"/>
              </w:rPr>
            </w:pPr>
            <w:r w:rsidRPr="00CE50D8">
              <w:rPr>
                <w:rFonts w:ascii="Times New Roman" w:eastAsia="Times New Roman" w:hAnsi="Times New Roman" w:cs="Times New Roman"/>
                <w:bCs/>
                <w:snapToGrid w:val="0"/>
                <w:kern w:val="0"/>
                <w:lang w:val="en-US" w:eastAsia="de-DE" w:bidi="en-US"/>
              </w:rPr>
              <w:t>(IC</w:t>
            </w:r>
            <w:r w:rsidRPr="00CE50D8">
              <w:rPr>
                <w:rFonts w:ascii="Times New Roman" w:eastAsia="Times New Roman" w:hAnsi="Times New Roman" w:cs="Times New Roman"/>
                <w:bCs/>
                <w:snapToGrid w:val="0"/>
                <w:kern w:val="0"/>
                <w:vertAlign w:val="subscript"/>
                <w:lang w:val="en-US" w:eastAsia="de-DE" w:bidi="en-US"/>
              </w:rPr>
              <w:t xml:space="preserve">50, </w:t>
            </w:r>
            <w:r w:rsidRPr="00CE50D8">
              <w:rPr>
                <w:rFonts w:cstheme="minorHAnsi"/>
                <w:bCs/>
                <w:szCs w:val="20"/>
              </w:rPr>
              <w:t>µ</w:t>
            </w:r>
            <w:r w:rsidRPr="00CE50D8">
              <w:rPr>
                <w:bCs/>
                <w:szCs w:val="20"/>
              </w:rPr>
              <w:t>M)</w:t>
            </w:r>
          </w:p>
        </w:tc>
        <w:tc>
          <w:tcPr>
            <w:tcW w:w="2127" w:type="dxa"/>
          </w:tcPr>
          <w:p w14:paraId="24734D57"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napToGrid w:val="0"/>
                <w:kern w:val="0"/>
                <w:lang w:val="en-US" w:eastAsia="de-DE" w:bidi="en-US"/>
              </w:rPr>
            </w:pPr>
            <w:r w:rsidRPr="00CE50D8">
              <w:rPr>
                <w:rFonts w:ascii="Times New Roman" w:eastAsia="Times New Roman" w:hAnsi="Times New Roman" w:cs="Times New Roman"/>
                <w:bCs/>
                <w:snapToGrid w:val="0"/>
                <w:kern w:val="0"/>
                <w:lang w:val="en-US" w:eastAsia="de-DE" w:bidi="en-US"/>
              </w:rPr>
              <w:t>BChE Inhibition</w:t>
            </w:r>
          </w:p>
          <w:p w14:paraId="766AD027" w14:textId="29BF8213"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napToGrid w:val="0"/>
                <w:kern w:val="0"/>
                <w:lang w:val="en-US" w:eastAsia="de-DE" w:bidi="en-US"/>
              </w:rPr>
            </w:pPr>
            <w:r w:rsidRPr="00CE50D8">
              <w:rPr>
                <w:rFonts w:ascii="Times New Roman" w:eastAsia="Times New Roman" w:hAnsi="Times New Roman" w:cs="Times New Roman"/>
                <w:bCs/>
                <w:snapToGrid w:val="0"/>
                <w:kern w:val="0"/>
                <w:lang w:val="en-US" w:eastAsia="de-DE" w:bidi="en-US"/>
              </w:rPr>
              <w:t>(% ± S.D.*)</w:t>
            </w:r>
          </w:p>
          <w:p w14:paraId="7307D469"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napToGrid w:val="0"/>
                <w:kern w:val="0"/>
                <w:lang w:val="en-US" w:eastAsia="de-DE" w:bidi="en-US"/>
              </w:rPr>
            </w:pPr>
            <w:r w:rsidRPr="00CE50D8">
              <w:rPr>
                <w:rFonts w:ascii="Times New Roman" w:eastAsia="Times New Roman" w:hAnsi="Times New Roman" w:cs="Times New Roman"/>
                <w:bCs/>
                <w:snapToGrid w:val="0"/>
                <w:kern w:val="0"/>
                <w:lang w:val="en-US" w:eastAsia="de-DE" w:bidi="en-US"/>
              </w:rPr>
              <w:t>100 µg/ml</w:t>
            </w:r>
          </w:p>
          <w:p w14:paraId="426DF677" w14:textId="7B4E6725" w:rsidR="00166224" w:rsidRPr="00CE50D8" w:rsidRDefault="00166224"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napToGrid w:val="0"/>
                <w:kern w:val="0"/>
                <w:lang w:val="en-US" w:eastAsia="de-DE" w:bidi="en-US"/>
              </w:rPr>
            </w:pPr>
            <w:r w:rsidRPr="00CE50D8">
              <w:rPr>
                <w:rFonts w:ascii="Times New Roman" w:eastAsia="Times New Roman" w:hAnsi="Times New Roman" w:cs="Times New Roman"/>
                <w:bCs/>
                <w:snapToGrid w:val="0"/>
                <w:kern w:val="0"/>
                <w:lang w:val="en-US" w:eastAsia="de-DE" w:bidi="en-US"/>
              </w:rPr>
              <w:t>(IC</w:t>
            </w:r>
            <w:r w:rsidRPr="00CE50D8">
              <w:rPr>
                <w:rFonts w:ascii="Times New Roman" w:eastAsia="Times New Roman" w:hAnsi="Times New Roman" w:cs="Times New Roman"/>
                <w:bCs/>
                <w:snapToGrid w:val="0"/>
                <w:kern w:val="0"/>
                <w:vertAlign w:val="subscript"/>
                <w:lang w:val="en-US" w:eastAsia="de-DE" w:bidi="en-US"/>
              </w:rPr>
              <w:t xml:space="preserve">50, </w:t>
            </w:r>
            <w:r w:rsidRPr="00CE50D8">
              <w:rPr>
                <w:rFonts w:cstheme="minorHAnsi"/>
                <w:bCs/>
                <w:szCs w:val="20"/>
              </w:rPr>
              <w:t>µ</w:t>
            </w:r>
            <w:r w:rsidRPr="00CE50D8">
              <w:rPr>
                <w:bCs/>
                <w:szCs w:val="20"/>
              </w:rPr>
              <w:t>M)</w:t>
            </w:r>
          </w:p>
        </w:tc>
        <w:tc>
          <w:tcPr>
            <w:tcW w:w="1700" w:type="dxa"/>
          </w:tcPr>
          <w:p w14:paraId="05E5B4BD" w14:textId="77777777" w:rsidR="00DE0343" w:rsidRPr="00CE50D8" w:rsidRDefault="00DE0343" w:rsidP="00DE0343">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napToGrid w:val="0"/>
                <w:kern w:val="0"/>
                <w:lang w:val="en-US" w:eastAsia="de-DE" w:bidi="en-US"/>
              </w:rPr>
            </w:pPr>
            <w:r w:rsidRPr="00CE50D8">
              <w:rPr>
                <w:rFonts w:ascii="Times New Roman" w:eastAsia="Times New Roman" w:hAnsi="Times New Roman" w:cs="Times New Roman"/>
                <w:bCs/>
                <w:snapToGrid w:val="0"/>
                <w:kern w:val="0"/>
                <w:lang w:val="en-US" w:eastAsia="de-DE" w:bidi="en-US"/>
              </w:rPr>
              <w:t>Selectivity index</w:t>
            </w:r>
          </w:p>
          <w:p w14:paraId="15E636D9" w14:textId="3B1880F8" w:rsidR="00DE0343" w:rsidRPr="00CE50D8" w:rsidRDefault="00DE0343" w:rsidP="00166224">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napToGrid w:val="0"/>
                <w:kern w:val="0"/>
                <w:lang w:val="en-US" w:eastAsia="de-DE" w:bidi="en-US"/>
              </w:rPr>
            </w:pPr>
            <w:r w:rsidRPr="00CE50D8">
              <w:rPr>
                <w:rFonts w:ascii="Times New Roman" w:eastAsia="Times New Roman" w:hAnsi="Times New Roman" w:cs="Times New Roman"/>
                <w:bCs/>
                <w:snapToGrid w:val="0"/>
                <w:kern w:val="0"/>
                <w:lang w:val="en-US" w:eastAsia="de-DE" w:bidi="en-US"/>
              </w:rPr>
              <w:t>(AChE</w:t>
            </w:r>
            <w:r w:rsidRPr="00CE50D8">
              <w:rPr>
                <w:rFonts w:ascii="Times New Roman" w:eastAsia="Times New Roman" w:hAnsi="Times New Roman" w:cs="Times New Roman"/>
                <w:bCs/>
                <w:snapToGrid w:val="0"/>
                <w:kern w:val="0"/>
                <w:vertAlign w:val="subscript"/>
                <w:lang w:val="en-US" w:eastAsia="de-DE" w:bidi="en-US"/>
              </w:rPr>
              <w:t>inhinition</w:t>
            </w:r>
            <w:r w:rsidRPr="00CE50D8">
              <w:rPr>
                <w:rFonts w:ascii="Times New Roman" w:eastAsia="Times New Roman" w:hAnsi="Times New Roman" w:cs="Times New Roman"/>
                <w:bCs/>
                <w:snapToGrid w:val="0"/>
                <w:kern w:val="0"/>
                <w:lang w:val="en-US" w:eastAsia="de-DE" w:bidi="en-US"/>
              </w:rPr>
              <w:t>/ BChE</w:t>
            </w:r>
            <w:r w:rsidRPr="00CE50D8">
              <w:rPr>
                <w:rFonts w:ascii="Times New Roman" w:eastAsia="Times New Roman" w:hAnsi="Times New Roman" w:cs="Times New Roman"/>
                <w:bCs/>
                <w:snapToGrid w:val="0"/>
                <w:kern w:val="0"/>
                <w:vertAlign w:val="subscript"/>
                <w:lang w:val="en-US" w:eastAsia="de-DE" w:bidi="en-US"/>
              </w:rPr>
              <w:t>inhibition</w:t>
            </w:r>
            <w:r w:rsidRPr="00CE50D8">
              <w:rPr>
                <w:rFonts w:ascii="Times New Roman" w:eastAsia="Times New Roman" w:hAnsi="Times New Roman" w:cs="Times New Roman"/>
                <w:bCs/>
                <w:snapToGrid w:val="0"/>
                <w:kern w:val="0"/>
                <w:lang w:val="en-US" w:eastAsia="de-DE" w:bidi="en-US"/>
              </w:rPr>
              <w:t xml:space="preserve">) </w:t>
            </w:r>
          </w:p>
        </w:tc>
      </w:tr>
      <w:tr w:rsidR="00761191" w:rsidRPr="00CE50D8" w14:paraId="72E96C8B" w14:textId="3BD2DD94" w:rsidTr="001F5B53">
        <w:tc>
          <w:tcPr>
            <w:cnfStyle w:val="001000000000" w:firstRow="0" w:lastRow="0" w:firstColumn="1" w:lastColumn="0" w:oddVBand="0" w:evenVBand="0" w:oddHBand="0" w:evenHBand="0" w:firstRowFirstColumn="0" w:firstRowLastColumn="0" w:lastRowFirstColumn="0" w:lastRowLastColumn="0"/>
            <w:tcW w:w="1413" w:type="dxa"/>
          </w:tcPr>
          <w:p w14:paraId="6109E0E7"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lastRenderedPageBreak/>
              <w:t>(9a)</w:t>
            </w:r>
          </w:p>
        </w:tc>
        <w:tc>
          <w:tcPr>
            <w:tcW w:w="2126" w:type="dxa"/>
          </w:tcPr>
          <w:p w14:paraId="5305F02F"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25DC14FD"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CH</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OH</w:t>
            </w:r>
          </w:p>
          <w:p w14:paraId="071E068E"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CH</w:t>
            </w:r>
            <w:r w:rsidRPr="00CE50D8">
              <w:rPr>
                <w:rFonts w:ascii="Times New Roman" w:eastAsia="Times New Roman" w:hAnsi="Times New Roman" w:cs="Times New Roman"/>
                <w:snapToGrid w:val="0"/>
                <w:kern w:val="0"/>
                <w:vertAlign w:val="subscript"/>
                <w:lang w:val="en-US" w:eastAsia="de-DE" w:bidi="en-US"/>
              </w:rPr>
              <w:t>3</w:t>
            </w:r>
          </w:p>
        </w:tc>
        <w:tc>
          <w:tcPr>
            <w:tcW w:w="2126" w:type="dxa"/>
          </w:tcPr>
          <w:p w14:paraId="25EE247E" w14:textId="32EDD48A"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55.96±2.67</w:t>
            </w:r>
          </w:p>
          <w:p w14:paraId="3BFAC460" w14:textId="0735F031"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w:t>
            </w:r>
            <w:r w:rsidRPr="00CE50D8">
              <w:rPr>
                <w:szCs w:val="20"/>
              </w:rPr>
              <w:t>294</w:t>
            </w:r>
            <w:r w:rsidRPr="00CE50D8">
              <w:rPr>
                <w:rFonts w:cstheme="minorHAnsi"/>
                <w:szCs w:val="20"/>
              </w:rPr>
              <w:t>±</w:t>
            </w:r>
            <w:r w:rsidRPr="00CE50D8">
              <w:rPr>
                <w:szCs w:val="20"/>
              </w:rPr>
              <w:t>5.09</w:t>
            </w:r>
            <w:r w:rsidRPr="00CE50D8">
              <w:rPr>
                <w:rFonts w:ascii="Times New Roman" w:eastAsia="Times New Roman" w:hAnsi="Times New Roman" w:cs="Times New Roman"/>
                <w:snapToGrid w:val="0"/>
                <w:kern w:val="0"/>
                <w:lang w:val="en-US" w:eastAsia="de-DE" w:bidi="en-US"/>
              </w:rPr>
              <w:t>)</w:t>
            </w:r>
          </w:p>
        </w:tc>
        <w:tc>
          <w:tcPr>
            <w:tcW w:w="2127" w:type="dxa"/>
          </w:tcPr>
          <w:p w14:paraId="1E4C5F1C"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19.73±1.70</w:t>
            </w:r>
          </w:p>
        </w:tc>
        <w:tc>
          <w:tcPr>
            <w:tcW w:w="1700" w:type="dxa"/>
          </w:tcPr>
          <w:p w14:paraId="238B39D4" w14:textId="27BB7C76"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2.83</w:t>
            </w:r>
          </w:p>
        </w:tc>
      </w:tr>
      <w:tr w:rsidR="00761191" w:rsidRPr="00CE50D8" w14:paraId="2BB4A074" w14:textId="2F36434C"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FF5F33F"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(9b)</w:t>
            </w:r>
          </w:p>
        </w:tc>
        <w:tc>
          <w:tcPr>
            <w:tcW w:w="2126" w:type="dxa"/>
          </w:tcPr>
          <w:p w14:paraId="1981C7AD"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22D60134"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anchor distT="0" distB="0" distL="114300" distR="114300" simplePos="0" relativeHeight="251675648" behindDoc="1" locked="0" layoutInCell="1" allowOverlap="1" wp14:anchorId="5F0067B2" wp14:editId="2D970C2E">
                  <wp:simplePos x="0" y="0"/>
                  <wp:positionH relativeFrom="column">
                    <wp:posOffset>396875</wp:posOffset>
                  </wp:positionH>
                  <wp:positionV relativeFrom="paragraph">
                    <wp:posOffset>178435</wp:posOffset>
                  </wp:positionV>
                  <wp:extent cx="402590" cy="393065"/>
                  <wp:effectExtent l="0" t="0" r="0" b="0"/>
                  <wp:wrapTight wrapText="bothSides">
                    <wp:wrapPolygon edited="0">
                      <wp:start x="0" y="0"/>
                      <wp:lineTo x="0" y="17796"/>
                      <wp:lineTo x="11243" y="20937"/>
                      <wp:lineTo x="17375" y="20937"/>
                      <wp:lineTo x="20442" y="9422"/>
                      <wp:lineTo x="20442" y="0"/>
                      <wp:lineTo x="7155" y="0"/>
                      <wp:lineTo x="0" y="0"/>
                    </wp:wrapPolygon>
                  </wp:wrapTight>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2590" cy="393065"/>
                          </a:xfrm>
                          <a:prstGeom prst="rect">
                            <a:avLst/>
                          </a:prstGeom>
                          <a:noFill/>
                        </pic:spPr>
                      </pic:pic>
                    </a:graphicData>
                  </a:graphic>
                </wp:anchor>
              </w:drawing>
            </w: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CH</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OH</w:t>
            </w:r>
          </w:p>
          <w:p w14:paraId="06F8FB11"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w:t>
            </w:r>
          </w:p>
        </w:tc>
        <w:tc>
          <w:tcPr>
            <w:tcW w:w="2126" w:type="dxa"/>
          </w:tcPr>
          <w:p w14:paraId="18C4601E" w14:textId="68FF90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75.55±2.28</w:t>
            </w:r>
          </w:p>
          <w:p w14:paraId="40A8276E" w14:textId="3B133395" w:rsidR="00DE0343" w:rsidRPr="00CE50D8" w:rsidRDefault="00DE0343" w:rsidP="00744220">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w:t>
            </w:r>
            <w:r w:rsidRPr="00CE50D8">
              <w:rPr>
                <w:szCs w:val="20"/>
              </w:rPr>
              <w:t>73.33</w:t>
            </w:r>
            <w:r w:rsidRPr="00CE50D8">
              <w:rPr>
                <w:rFonts w:cstheme="minorHAnsi"/>
                <w:szCs w:val="20"/>
              </w:rPr>
              <w:t>±</w:t>
            </w:r>
            <w:r w:rsidRPr="00CE50D8">
              <w:rPr>
                <w:szCs w:val="20"/>
              </w:rPr>
              <w:t>3.2</w:t>
            </w:r>
            <w:r w:rsidRPr="00CE50D8">
              <w:rPr>
                <w:rFonts w:ascii="Times New Roman" w:eastAsia="Times New Roman" w:hAnsi="Times New Roman" w:cs="Times New Roman"/>
                <w:snapToGrid w:val="0"/>
                <w:kern w:val="0"/>
                <w:lang w:val="en-US" w:eastAsia="de-DE" w:bidi="en-US"/>
              </w:rPr>
              <w:t>)</w:t>
            </w:r>
          </w:p>
        </w:tc>
        <w:tc>
          <w:tcPr>
            <w:tcW w:w="2127" w:type="dxa"/>
          </w:tcPr>
          <w:p w14:paraId="0DFD7A36" w14:textId="2F56195F"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88.86±1.64</w:t>
            </w:r>
          </w:p>
          <w:p w14:paraId="50461586" w14:textId="49B725AE" w:rsidR="00DE0343" w:rsidRPr="00CE50D8" w:rsidRDefault="00DE0343" w:rsidP="00744220">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w:t>
            </w:r>
            <w:r w:rsidRPr="00CE50D8">
              <w:rPr>
                <w:szCs w:val="20"/>
              </w:rPr>
              <w:t>31.06</w:t>
            </w:r>
            <w:r w:rsidRPr="00CE50D8">
              <w:rPr>
                <w:rFonts w:cstheme="minorHAnsi"/>
                <w:szCs w:val="20"/>
              </w:rPr>
              <w:t>±</w:t>
            </w:r>
            <w:r w:rsidRPr="00CE50D8">
              <w:rPr>
                <w:szCs w:val="20"/>
              </w:rPr>
              <w:t>0.8</w:t>
            </w:r>
            <w:r w:rsidRPr="00CE50D8">
              <w:rPr>
                <w:rFonts w:ascii="Times New Roman" w:eastAsia="Times New Roman" w:hAnsi="Times New Roman" w:cs="Times New Roman"/>
                <w:snapToGrid w:val="0"/>
                <w:kern w:val="0"/>
                <w:lang w:val="en-US" w:eastAsia="de-DE" w:bidi="en-US"/>
              </w:rPr>
              <w:t>)</w:t>
            </w:r>
          </w:p>
        </w:tc>
        <w:tc>
          <w:tcPr>
            <w:tcW w:w="1700" w:type="dxa"/>
          </w:tcPr>
          <w:p w14:paraId="4FC086D0" w14:textId="75D1FFB4"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0.85</w:t>
            </w:r>
          </w:p>
        </w:tc>
      </w:tr>
      <w:tr w:rsidR="00761191" w:rsidRPr="00CE50D8" w14:paraId="01FF0717" w14:textId="2800A8FD" w:rsidTr="001F5B53">
        <w:tc>
          <w:tcPr>
            <w:cnfStyle w:val="001000000000" w:firstRow="0" w:lastRow="0" w:firstColumn="1" w:lastColumn="0" w:oddVBand="0" w:evenVBand="0" w:oddHBand="0" w:evenHBand="0" w:firstRowFirstColumn="0" w:firstRowLastColumn="0" w:lastRowFirstColumn="0" w:lastRowLastColumn="0"/>
            <w:tcW w:w="1413" w:type="dxa"/>
          </w:tcPr>
          <w:p w14:paraId="4B7C55C3"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(9c)</w:t>
            </w:r>
          </w:p>
        </w:tc>
        <w:tc>
          <w:tcPr>
            <w:tcW w:w="2126" w:type="dxa"/>
          </w:tcPr>
          <w:p w14:paraId="7BF2E896"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30D1BF06"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anchor distT="0" distB="0" distL="114300" distR="114300" simplePos="0" relativeHeight="251674624" behindDoc="1" locked="0" layoutInCell="1" allowOverlap="1" wp14:anchorId="16BB057F" wp14:editId="1FCEA93D">
                  <wp:simplePos x="0" y="0"/>
                  <wp:positionH relativeFrom="column">
                    <wp:posOffset>417195</wp:posOffset>
                  </wp:positionH>
                  <wp:positionV relativeFrom="paragraph">
                    <wp:posOffset>231140</wp:posOffset>
                  </wp:positionV>
                  <wp:extent cx="374650" cy="347345"/>
                  <wp:effectExtent l="0" t="0" r="0" b="0"/>
                  <wp:wrapTight wrapText="bothSides">
                    <wp:wrapPolygon edited="0">
                      <wp:start x="5492" y="0"/>
                      <wp:lineTo x="0" y="7108"/>
                      <wp:lineTo x="0" y="10662"/>
                      <wp:lineTo x="10983" y="20139"/>
                      <wp:lineTo x="17573" y="20139"/>
                      <wp:lineTo x="20868" y="15400"/>
                      <wp:lineTo x="20868" y="7108"/>
                      <wp:lineTo x="10983" y="0"/>
                      <wp:lineTo x="5492" y="0"/>
                    </wp:wrapPolygon>
                  </wp:wrapTight>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4650" cy="347345"/>
                          </a:xfrm>
                          <a:prstGeom prst="rect">
                            <a:avLst/>
                          </a:prstGeom>
                          <a:noFill/>
                        </pic:spPr>
                      </pic:pic>
                    </a:graphicData>
                  </a:graphic>
                </wp:anchor>
              </w:drawing>
            </w: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CH</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OH</w:t>
            </w:r>
          </w:p>
          <w:p w14:paraId="799A1ED2"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w:t>
            </w:r>
          </w:p>
        </w:tc>
        <w:tc>
          <w:tcPr>
            <w:tcW w:w="2126" w:type="dxa"/>
          </w:tcPr>
          <w:p w14:paraId="289D4FBB"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26.66±2.24</w:t>
            </w:r>
          </w:p>
        </w:tc>
        <w:tc>
          <w:tcPr>
            <w:tcW w:w="2127" w:type="dxa"/>
          </w:tcPr>
          <w:p w14:paraId="36089313"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7.56±1.78</w:t>
            </w:r>
          </w:p>
        </w:tc>
        <w:tc>
          <w:tcPr>
            <w:tcW w:w="1700" w:type="dxa"/>
          </w:tcPr>
          <w:p w14:paraId="3C5FBA11" w14:textId="7C295DBF"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3.52</w:t>
            </w:r>
          </w:p>
        </w:tc>
      </w:tr>
      <w:tr w:rsidR="00761191" w:rsidRPr="00CE50D8" w14:paraId="7A72006B" w14:textId="3F71F4F1"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FBF9FE6"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(9d)</w:t>
            </w:r>
          </w:p>
        </w:tc>
        <w:tc>
          <w:tcPr>
            <w:tcW w:w="2126" w:type="dxa"/>
          </w:tcPr>
          <w:p w14:paraId="65660A47"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16A540D4"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CH</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OH</w:t>
            </w:r>
          </w:p>
          <w:p w14:paraId="5CB4C23B"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anchor distT="0" distB="0" distL="114300" distR="114300" simplePos="0" relativeHeight="251680768" behindDoc="1" locked="0" layoutInCell="1" allowOverlap="1" wp14:anchorId="563F434E" wp14:editId="5405DF60">
                  <wp:simplePos x="0" y="0"/>
                  <wp:positionH relativeFrom="column">
                    <wp:posOffset>363220</wp:posOffset>
                  </wp:positionH>
                  <wp:positionV relativeFrom="paragraph">
                    <wp:posOffset>90170</wp:posOffset>
                  </wp:positionV>
                  <wp:extent cx="402590" cy="320040"/>
                  <wp:effectExtent l="0" t="0" r="0" b="0"/>
                  <wp:wrapTight wrapText="bothSides">
                    <wp:wrapPolygon edited="0">
                      <wp:start x="5110" y="0"/>
                      <wp:lineTo x="0" y="7714"/>
                      <wp:lineTo x="0" y="12857"/>
                      <wp:lineTo x="10221" y="20571"/>
                      <wp:lineTo x="16353" y="20571"/>
                      <wp:lineTo x="20442" y="16714"/>
                      <wp:lineTo x="19420" y="7714"/>
                      <wp:lineTo x="10221" y="0"/>
                      <wp:lineTo x="5110" y="0"/>
                    </wp:wrapPolygon>
                  </wp:wrapTight>
                  <wp:docPr id="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2590" cy="320040"/>
                          </a:xfrm>
                          <a:prstGeom prst="rect">
                            <a:avLst/>
                          </a:prstGeom>
                          <a:noFill/>
                        </pic:spPr>
                      </pic:pic>
                    </a:graphicData>
                  </a:graphic>
                </wp:anchor>
              </w:drawing>
            </w: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w:t>
            </w:r>
          </w:p>
        </w:tc>
        <w:tc>
          <w:tcPr>
            <w:tcW w:w="2126" w:type="dxa"/>
          </w:tcPr>
          <w:p w14:paraId="1D8C3AA3"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27.99±1.70</w:t>
            </w:r>
          </w:p>
        </w:tc>
        <w:tc>
          <w:tcPr>
            <w:tcW w:w="2127" w:type="dxa"/>
          </w:tcPr>
          <w:p w14:paraId="27B23397"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9.28±1.71</w:t>
            </w:r>
          </w:p>
        </w:tc>
        <w:tc>
          <w:tcPr>
            <w:tcW w:w="1700" w:type="dxa"/>
          </w:tcPr>
          <w:p w14:paraId="11CEA86E" w14:textId="21B006A5"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3.01</w:t>
            </w:r>
          </w:p>
        </w:tc>
      </w:tr>
      <w:tr w:rsidR="00761191" w:rsidRPr="00CE50D8" w14:paraId="2FB03479" w14:textId="4020467F" w:rsidTr="001F5B53">
        <w:tc>
          <w:tcPr>
            <w:cnfStyle w:val="001000000000" w:firstRow="0" w:lastRow="0" w:firstColumn="1" w:lastColumn="0" w:oddVBand="0" w:evenVBand="0" w:oddHBand="0" w:evenHBand="0" w:firstRowFirstColumn="0" w:firstRowLastColumn="0" w:lastRowFirstColumn="0" w:lastRowLastColumn="0"/>
            <w:tcW w:w="1413" w:type="dxa"/>
          </w:tcPr>
          <w:p w14:paraId="0286FD8A"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(9e)</w:t>
            </w:r>
          </w:p>
        </w:tc>
        <w:tc>
          <w:tcPr>
            <w:tcW w:w="2126" w:type="dxa"/>
          </w:tcPr>
          <w:p w14:paraId="0FB94392"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5161E080"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anchor distT="0" distB="0" distL="114300" distR="114300" simplePos="0" relativeHeight="251676672" behindDoc="1" locked="0" layoutInCell="1" allowOverlap="1" wp14:anchorId="00575021" wp14:editId="30A9A4D5">
                  <wp:simplePos x="0" y="0"/>
                  <wp:positionH relativeFrom="column">
                    <wp:posOffset>476885</wp:posOffset>
                  </wp:positionH>
                  <wp:positionV relativeFrom="paragraph">
                    <wp:posOffset>208280</wp:posOffset>
                  </wp:positionV>
                  <wp:extent cx="511810" cy="356235"/>
                  <wp:effectExtent l="0" t="0" r="0" b="0"/>
                  <wp:wrapTight wrapText="bothSides">
                    <wp:wrapPolygon edited="0">
                      <wp:start x="16079" y="0"/>
                      <wp:lineTo x="0" y="1155"/>
                      <wp:lineTo x="0" y="18481"/>
                      <wp:lineTo x="1608" y="20791"/>
                      <wp:lineTo x="6432" y="20791"/>
                      <wp:lineTo x="11256" y="18481"/>
                      <wp:lineTo x="20903" y="5775"/>
                      <wp:lineTo x="20903" y="0"/>
                      <wp:lineTo x="16079" y="0"/>
                    </wp:wrapPolygon>
                  </wp:wrapTight>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1810" cy="356235"/>
                          </a:xfrm>
                          <a:prstGeom prst="rect">
                            <a:avLst/>
                          </a:prstGeom>
                          <a:noFill/>
                        </pic:spPr>
                      </pic:pic>
                    </a:graphicData>
                  </a:graphic>
                </wp:anchor>
              </w:drawing>
            </w: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CH</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OH</w:t>
            </w:r>
          </w:p>
          <w:p w14:paraId="32EE82A4"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w:t>
            </w:r>
          </w:p>
        </w:tc>
        <w:tc>
          <w:tcPr>
            <w:tcW w:w="2126" w:type="dxa"/>
          </w:tcPr>
          <w:p w14:paraId="031695E3"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3.99±0.76</w:t>
            </w:r>
          </w:p>
        </w:tc>
        <w:tc>
          <w:tcPr>
            <w:tcW w:w="2127" w:type="dxa"/>
          </w:tcPr>
          <w:p w14:paraId="1480E3CF"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19.41±3.12</w:t>
            </w:r>
          </w:p>
        </w:tc>
        <w:tc>
          <w:tcPr>
            <w:tcW w:w="1700" w:type="dxa"/>
          </w:tcPr>
          <w:p w14:paraId="313D5B5E" w14:textId="686ED0D0"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0.20</w:t>
            </w:r>
          </w:p>
        </w:tc>
      </w:tr>
      <w:tr w:rsidR="00761191" w:rsidRPr="00CE50D8" w14:paraId="0B682419" w14:textId="19E6E7D6"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5D9E040"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(9f)</w:t>
            </w:r>
          </w:p>
        </w:tc>
        <w:tc>
          <w:tcPr>
            <w:tcW w:w="2126" w:type="dxa"/>
          </w:tcPr>
          <w:p w14:paraId="627CA601"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62F95B63"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anchor distT="0" distB="0" distL="114300" distR="114300" simplePos="0" relativeHeight="251677696" behindDoc="1" locked="0" layoutInCell="1" allowOverlap="1" wp14:anchorId="7725449C" wp14:editId="6BC61CF7">
                  <wp:simplePos x="0" y="0"/>
                  <wp:positionH relativeFrom="column">
                    <wp:posOffset>483870</wp:posOffset>
                  </wp:positionH>
                  <wp:positionV relativeFrom="paragraph">
                    <wp:posOffset>194310</wp:posOffset>
                  </wp:positionV>
                  <wp:extent cx="548640" cy="328930"/>
                  <wp:effectExtent l="0" t="0" r="0" b="0"/>
                  <wp:wrapTight wrapText="bothSides">
                    <wp:wrapPolygon edited="0">
                      <wp:start x="9000" y="0"/>
                      <wp:lineTo x="0" y="2502"/>
                      <wp:lineTo x="0" y="17514"/>
                      <wp:lineTo x="1500" y="20015"/>
                      <wp:lineTo x="6000" y="20015"/>
                      <wp:lineTo x="18750" y="13761"/>
                      <wp:lineTo x="21000" y="6255"/>
                      <wp:lineTo x="19500" y="0"/>
                      <wp:lineTo x="9000" y="0"/>
                    </wp:wrapPolygon>
                  </wp:wrapTight>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 cy="328930"/>
                          </a:xfrm>
                          <a:prstGeom prst="rect">
                            <a:avLst/>
                          </a:prstGeom>
                          <a:noFill/>
                        </pic:spPr>
                      </pic:pic>
                    </a:graphicData>
                  </a:graphic>
                </wp:anchor>
              </w:drawing>
            </w: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CH</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OH</w:t>
            </w:r>
          </w:p>
          <w:p w14:paraId="1333DBCE"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w:t>
            </w:r>
          </w:p>
        </w:tc>
        <w:tc>
          <w:tcPr>
            <w:tcW w:w="2126" w:type="dxa"/>
          </w:tcPr>
          <w:p w14:paraId="47842475" w14:textId="151819D2"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w:t>
            </w:r>
          </w:p>
        </w:tc>
        <w:tc>
          <w:tcPr>
            <w:tcW w:w="2127" w:type="dxa"/>
          </w:tcPr>
          <w:p w14:paraId="3377864E"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21.77±2.11</w:t>
            </w:r>
          </w:p>
        </w:tc>
        <w:tc>
          <w:tcPr>
            <w:tcW w:w="1700" w:type="dxa"/>
          </w:tcPr>
          <w:p w14:paraId="4A58C98B" w14:textId="7E4DA73B"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w:t>
            </w:r>
          </w:p>
        </w:tc>
      </w:tr>
      <w:tr w:rsidR="00761191" w:rsidRPr="00CE50D8" w14:paraId="18300E99" w14:textId="4B38BA4E" w:rsidTr="001F5B53">
        <w:tc>
          <w:tcPr>
            <w:cnfStyle w:val="001000000000" w:firstRow="0" w:lastRow="0" w:firstColumn="1" w:lastColumn="0" w:oddVBand="0" w:evenVBand="0" w:oddHBand="0" w:evenHBand="0" w:firstRowFirstColumn="0" w:firstRowLastColumn="0" w:lastRowFirstColumn="0" w:lastRowLastColumn="0"/>
            <w:tcW w:w="1413" w:type="dxa"/>
          </w:tcPr>
          <w:p w14:paraId="353D8AAE"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 xml:space="preserve"> (9g)</w:t>
            </w:r>
          </w:p>
        </w:tc>
        <w:tc>
          <w:tcPr>
            <w:tcW w:w="2126" w:type="dxa"/>
          </w:tcPr>
          <w:p w14:paraId="14FE0683"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704C8623"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anchor distT="0" distB="0" distL="114300" distR="114300" simplePos="0" relativeHeight="251678720" behindDoc="1" locked="0" layoutInCell="1" allowOverlap="1" wp14:anchorId="2A521928" wp14:editId="2A9BDCE3">
                  <wp:simplePos x="0" y="0"/>
                  <wp:positionH relativeFrom="column">
                    <wp:posOffset>483870</wp:posOffset>
                  </wp:positionH>
                  <wp:positionV relativeFrom="paragraph">
                    <wp:posOffset>165735</wp:posOffset>
                  </wp:positionV>
                  <wp:extent cx="511810" cy="356235"/>
                  <wp:effectExtent l="0" t="0" r="0" b="0"/>
                  <wp:wrapTight wrapText="bothSides">
                    <wp:wrapPolygon edited="0">
                      <wp:start x="16079" y="0"/>
                      <wp:lineTo x="0" y="1155"/>
                      <wp:lineTo x="0" y="18481"/>
                      <wp:lineTo x="1608" y="20791"/>
                      <wp:lineTo x="6432" y="20791"/>
                      <wp:lineTo x="11256" y="18481"/>
                      <wp:lineTo x="20903" y="5775"/>
                      <wp:lineTo x="20903" y="0"/>
                      <wp:lineTo x="16079" y="0"/>
                    </wp:wrapPolygon>
                  </wp:wrapTight>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1810" cy="356235"/>
                          </a:xfrm>
                          <a:prstGeom prst="rect">
                            <a:avLst/>
                          </a:prstGeom>
                          <a:noFill/>
                        </pic:spPr>
                      </pic:pic>
                    </a:graphicData>
                  </a:graphic>
                </wp:anchor>
              </w:drawing>
            </w: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H</w:t>
            </w:r>
          </w:p>
          <w:p w14:paraId="42C2CF8C"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w:t>
            </w:r>
          </w:p>
        </w:tc>
        <w:tc>
          <w:tcPr>
            <w:tcW w:w="2126" w:type="dxa"/>
          </w:tcPr>
          <w:p w14:paraId="46A0F7D0"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30.91±0.91</w:t>
            </w:r>
          </w:p>
        </w:tc>
        <w:tc>
          <w:tcPr>
            <w:tcW w:w="2127" w:type="dxa"/>
          </w:tcPr>
          <w:p w14:paraId="284FCB1E"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24.92±3.15</w:t>
            </w:r>
          </w:p>
        </w:tc>
        <w:tc>
          <w:tcPr>
            <w:tcW w:w="1700" w:type="dxa"/>
          </w:tcPr>
          <w:p w14:paraId="5A500FE3" w14:textId="26AFF29C"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1.24</w:t>
            </w:r>
          </w:p>
        </w:tc>
      </w:tr>
      <w:tr w:rsidR="00761191" w:rsidRPr="00CE50D8" w14:paraId="0B3D0A4B" w14:textId="4C7E513A"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6ACCF1D"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 xml:space="preserve"> (9h)</w:t>
            </w:r>
          </w:p>
        </w:tc>
        <w:tc>
          <w:tcPr>
            <w:tcW w:w="2126" w:type="dxa"/>
          </w:tcPr>
          <w:p w14:paraId="2E92429C"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OH</w:t>
            </w:r>
          </w:p>
          <w:p w14:paraId="3C12218E"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anchor distT="0" distB="0" distL="114300" distR="114300" simplePos="0" relativeHeight="251679744" behindDoc="1" locked="0" layoutInCell="1" allowOverlap="1" wp14:anchorId="3875C3A3" wp14:editId="18DF0F85">
                  <wp:simplePos x="0" y="0"/>
                  <wp:positionH relativeFrom="column">
                    <wp:posOffset>483870</wp:posOffset>
                  </wp:positionH>
                  <wp:positionV relativeFrom="paragraph">
                    <wp:posOffset>180975</wp:posOffset>
                  </wp:positionV>
                  <wp:extent cx="511810" cy="356235"/>
                  <wp:effectExtent l="0" t="0" r="0" b="0"/>
                  <wp:wrapTight wrapText="bothSides">
                    <wp:wrapPolygon edited="0">
                      <wp:start x="16079" y="0"/>
                      <wp:lineTo x="0" y="1155"/>
                      <wp:lineTo x="0" y="18481"/>
                      <wp:lineTo x="1608" y="20791"/>
                      <wp:lineTo x="6432" y="20791"/>
                      <wp:lineTo x="11256" y="18481"/>
                      <wp:lineTo x="20903" y="5775"/>
                      <wp:lineTo x="20903" y="0"/>
                      <wp:lineTo x="16079" y="0"/>
                    </wp:wrapPolygon>
                  </wp:wrapTight>
                  <wp:docPr id="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1810" cy="356235"/>
                          </a:xfrm>
                          <a:prstGeom prst="rect">
                            <a:avLst/>
                          </a:prstGeom>
                          <a:noFill/>
                        </pic:spPr>
                      </pic:pic>
                    </a:graphicData>
                  </a:graphic>
                </wp:anchor>
              </w:drawing>
            </w: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H</w:t>
            </w:r>
          </w:p>
          <w:p w14:paraId="1E9E17FC"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w:t>
            </w:r>
          </w:p>
        </w:tc>
        <w:tc>
          <w:tcPr>
            <w:tcW w:w="2126" w:type="dxa"/>
          </w:tcPr>
          <w:p w14:paraId="320AD865"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w:t>
            </w:r>
          </w:p>
        </w:tc>
        <w:tc>
          <w:tcPr>
            <w:tcW w:w="2127" w:type="dxa"/>
          </w:tcPr>
          <w:p w14:paraId="651C56DB"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17.91±0.09</w:t>
            </w:r>
          </w:p>
        </w:tc>
        <w:tc>
          <w:tcPr>
            <w:tcW w:w="1700" w:type="dxa"/>
          </w:tcPr>
          <w:p w14:paraId="24FF0F24" w14:textId="46FB1D2B"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w:t>
            </w:r>
          </w:p>
        </w:tc>
      </w:tr>
      <w:tr w:rsidR="00761191" w:rsidRPr="00CE50D8" w14:paraId="2F6429CC" w14:textId="67F48F39" w:rsidTr="001F5B53">
        <w:tc>
          <w:tcPr>
            <w:cnfStyle w:val="001000000000" w:firstRow="0" w:lastRow="0" w:firstColumn="1" w:lastColumn="0" w:oddVBand="0" w:evenVBand="0" w:oddHBand="0" w:evenHBand="0" w:firstRowFirstColumn="0" w:firstRowLastColumn="0" w:lastRowFirstColumn="0" w:lastRowLastColumn="0"/>
            <w:tcW w:w="1413" w:type="dxa"/>
          </w:tcPr>
          <w:p w14:paraId="3FC0A6F4"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lastRenderedPageBreak/>
              <w:t>(9i)</w:t>
            </w:r>
          </w:p>
        </w:tc>
        <w:tc>
          <w:tcPr>
            <w:tcW w:w="2126" w:type="dxa"/>
          </w:tcPr>
          <w:p w14:paraId="5CD1B1F6"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OH</w:t>
            </w:r>
          </w:p>
          <w:p w14:paraId="73A5039B" w14:textId="6889453C"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anchor distT="0" distB="0" distL="114300" distR="114300" simplePos="0" relativeHeight="251687936" behindDoc="1" locked="0" layoutInCell="1" allowOverlap="1" wp14:anchorId="406329D9" wp14:editId="2F4F10B0">
                  <wp:simplePos x="0" y="0"/>
                  <wp:positionH relativeFrom="column">
                    <wp:posOffset>417195</wp:posOffset>
                  </wp:positionH>
                  <wp:positionV relativeFrom="paragraph">
                    <wp:posOffset>339090</wp:posOffset>
                  </wp:positionV>
                  <wp:extent cx="548640" cy="328930"/>
                  <wp:effectExtent l="0" t="0" r="3810" b="0"/>
                  <wp:wrapTight wrapText="bothSides">
                    <wp:wrapPolygon edited="0">
                      <wp:start x="9000" y="0"/>
                      <wp:lineTo x="0" y="2502"/>
                      <wp:lineTo x="0" y="17514"/>
                      <wp:lineTo x="1500" y="20015"/>
                      <wp:lineTo x="6000" y="20015"/>
                      <wp:lineTo x="18750" y="13761"/>
                      <wp:lineTo x="21000" y="6255"/>
                      <wp:lineTo x="19500" y="0"/>
                      <wp:lineTo x="9000" y="0"/>
                    </wp:wrapPolygon>
                  </wp:wrapTight>
                  <wp:docPr id="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 cy="328930"/>
                          </a:xfrm>
                          <a:prstGeom prst="rect">
                            <a:avLst/>
                          </a:prstGeom>
                          <a:noFill/>
                        </pic:spPr>
                      </pic:pic>
                    </a:graphicData>
                  </a:graphic>
                </wp:anchor>
              </w:drawing>
            </w: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H</w:t>
            </w:r>
          </w:p>
          <w:p w14:paraId="1C8837F6" w14:textId="3B81403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w:t>
            </w:r>
          </w:p>
        </w:tc>
        <w:tc>
          <w:tcPr>
            <w:tcW w:w="2126" w:type="dxa"/>
          </w:tcPr>
          <w:p w14:paraId="30D7AC83" w14:textId="58A34BA1"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w:t>
            </w:r>
          </w:p>
        </w:tc>
        <w:tc>
          <w:tcPr>
            <w:tcW w:w="2127" w:type="dxa"/>
          </w:tcPr>
          <w:p w14:paraId="5D01F6C1"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9.81±2.32</w:t>
            </w:r>
          </w:p>
        </w:tc>
        <w:tc>
          <w:tcPr>
            <w:tcW w:w="1700" w:type="dxa"/>
          </w:tcPr>
          <w:p w14:paraId="2C2771EC" w14:textId="2A9AD3F0"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w:t>
            </w:r>
          </w:p>
        </w:tc>
      </w:tr>
      <w:tr w:rsidR="00761191" w:rsidRPr="00CE50D8" w14:paraId="11061C6D" w14:textId="004A3A03"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0A44F3A"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 xml:space="preserve"> (9j)</w:t>
            </w:r>
          </w:p>
        </w:tc>
        <w:tc>
          <w:tcPr>
            <w:tcW w:w="2126" w:type="dxa"/>
          </w:tcPr>
          <w:p w14:paraId="2A802EED"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1294FF2F"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anchor distT="0" distB="0" distL="114300" distR="114300" simplePos="0" relativeHeight="251681792" behindDoc="1" locked="0" layoutInCell="1" allowOverlap="1" wp14:anchorId="0FB8FA8A" wp14:editId="4670448B">
                  <wp:simplePos x="0" y="0"/>
                  <wp:positionH relativeFrom="column">
                    <wp:posOffset>483870</wp:posOffset>
                  </wp:positionH>
                  <wp:positionV relativeFrom="paragraph">
                    <wp:posOffset>194310</wp:posOffset>
                  </wp:positionV>
                  <wp:extent cx="548640" cy="328930"/>
                  <wp:effectExtent l="0" t="0" r="0" b="0"/>
                  <wp:wrapTight wrapText="bothSides">
                    <wp:wrapPolygon edited="0">
                      <wp:start x="9000" y="0"/>
                      <wp:lineTo x="0" y="2502"/>
                      <wp:lineTo x="0" y="17514"/>
                      <wp:lineTo x="1500" y="20015"/>
                      <wp:lineTo x="6000" y="20015"/>
                      <wp:lineTo x="18750" y="13761"/>
                      <wp:lineTo x="21000" y="6255"/>
                      <wp:lineTo x="19500" y="0"/>
                      <wp:lineTo x="9000" y="0"/>
                    </wp:wrapPolygon>
                  </wp:wrapTight>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 cy="328930"/>
                          </a:xfrm>
                          <a:prstGeom prst="rect">
                            <a:avLst/>
                          </a:prstGeom>
                          <a:noFill/>
                        </pic:spPr>
                      </pic:pic>
                    </a:graphicData>
                  </a:graphic>
                </wp:anchor>
              </w:drawing>
            </w: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H</w:t>
            </w:r>
          </w:p>
          <w:p w14:paraId="790E73AE"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w:t>
            </w:r>
          </w:p>
        </w:tc>
        <w:tc>
          <w:tcPr>
            <w:tcW w:w="2126" w:type="dxa"/>
          </w:tcPr>
          <w:p w14:paraId="3A78D099"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14.69±0.24</w:t>
            </w:r>
          </w:p>
        </w:tc>
        <w:tc>
          <w:tcPr>
            <w:tcW w:w="2127" w:type="dxa"/>
          </w:tcPr>
          <w:p w14:paraId="47E7571F"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17.90±2.81</w:t>
            </w:r>
          </w:p>
        </w:tc>
        <w:tc>
          <w:tcPr>
            <w:tcW w:w="1700" w:type="dxa"/>
          </w:tcPr>
          <w:p w14:paraId="3AA03F4F" w14:textId="5F915973"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0.82</w:t>
            </w:r>
          </w:p>
        </w:tc>
      </w:tr>
      <w:tr w:rsidR="00761191" w:rsidRPr="00CE50D8" w14:paraId="7530F295" w14:textId="30A998B6" w:rsidTr="001F5B53">
        <w:tc>
          <w:tcPr>
            <w:cnfStyle w:val="001000000000" w:firstRow="0" w:lastRow="0" w:firstColumn="1" w:lastColumn="0" w:oddVBand="0" w:evenVBand="0" w:oddHBand="0" w:evenHBand="0" w:firstRowFirstColumn="0" w:firstRowLastColumn="0" w:lastRowFirstColumn="0" w:lastRowLastColumn="0"/>
            <w:tcW w:w="1413" w:type="dxa"/>
          </w:tcPr>
          <w:p w14:paraId="327D451C"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(9k)</w:t>
            </w:r>
          </w:p>
        </w:tc>
        <w:tc>
          <w:tcPr>
            <w:tcW w:w="2126" w:type="dxa"/>
          </w:tcPr>
          <w:p w14:paraId="0AD10FE7"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115BC466"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anchor distT="0" distB="0" distL="114300" distR="114300" simplePos="0" relativeHeight="251682816" behindDoc="1" locked="0" layoutInCell="1" allowOverlap="1" wp14:anchorId="5C025C1D" wp14:editId="6194B9A5">
                  <wp:simplePos x="0" y="0"/>
                  <wp:positionH relativeFrom="column">
                    <wp:posOffset>422275</wp:posOffset>
                  </wp:positionH>
                  <wp:positionV relativeFrom="paragraph">
                    <wp:posOffset>208915</wp:posOffset>
                  </wp:positionV>
                  <wp:extent cx="685800" cy="474980"/>
                  <wp:effectExtent l="0" t="0" r="0" b="0"/>
                  <wp:wrapTight wrapText="bothSides">
                    <wp:wrapPolygon edited="0">
                      <wp:start x="15000" y="0"/>
                      <wp:lineTo x="0" y="8663"/>
                      <wp:lineTo x="0" y="19059"/>
                      <wp:lineTo x="1200" y="20791"/>
                      <wp:lineTo x="4800" y="20791"/>
                      <wp:lineTo x="6000" y="19059"/>
                      <wp:lineTo x="12600" y="14727"/>
                      <wp:lineTo x="12600" y="13861"/>
                      <wp:lineTo x="20400" y="8663"/>
                      <wp:lineTo x="21000" y="866"/>
                      <wp:lineTo x="18600" y="0"/>
                      <wp:lineTo x="15000" y="0"/>
                    </wp:wrapPolygon>
                  </wp:wrapTight>
                  <wp:docPr id="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474980"/>
                          </a:xfrm>
                          <a:prstGeom prst="rect">
                            <a:avLst/>
                          </a:prstGeom>
                          <a:noFill/>
                        </pic:spPr>
                      </pic:pic>
                    </a:graphicData>
                  </a:graphic>
                </wp:anchor>
              </w:drawing>
            </w: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CH</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OH</w:t>
            </w:r>
          </w:p>
          <w:p w14:paraId="088A285E"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w:t>
            </w:r>
          </w:p>
        </w:tc>
        <w:tc>
          <w:tcPr>
            <w:tcW w:w="2126" w:type="dxa"/>
          </w:tcPr>
          <w:p w14:paraId="373B512D" w14:textId="0B993E20"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59.07±2.72</w:t>
            </w:r>
          </w:p>
          <w:p w14:paraId="79A5F992" w14:textId="4D9C166A" w:rsidR="00DE0343" w:rsidRPr="00CE50D8" w:rsidRDefault="00DE0343" w:rsidP="00744220">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w:t>
            </w:r>
            <w:r w:rsidRPr="00CE50D8">
              <w:rPr>
                <w:szCs w:val="20"/>
              </w:rPr>
              <w:t>146.97</w:t>
            </w:r>
            <w:r w:rsidRPr="00CE50D8">
              <w:rPr>
                <w:rFonts w:cstheme="minorHAnsi"/>
                <w:szCs w:val="20"/>
              </w:rPr>
              <w:t>±</w:t>
            </w:r>
            <w:r w:rsidRPr="00CE50D8">
              <w:rPr>
                <w:szCs w:val="20"/>
              </w:rPr>
              <w:t>7.1</w:t>
            </w:r>
            <w:r w:rsidRPr="00CE50D8">
              <w:rPr>
                <w:rFonts w:ascii="Times New Roman" w:eastAsia="Times New Roman" w:hAnsi="Times New Roman" w:cs="Times New Roman"/>
                <w:snapToGrid w:val="0"/>
                <w:kern w:val="0"/>
                <w:lang w:val="en-US" w:eastAsia="de-DE" w:bidi="en-US"/>
              </w:rPr>
              <w:t>)</w:t>
            </w:r>
          </w:p>
        </w:tc>
        <w:tc>
          <w:tcPr>
            <w:tcW w:w="2127" w:type="dxa"/>
          </w:tcPr>
          <w:p w14:paraId="6F644827"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22.54±3.85</w:t>
            </w:r>
          </w:p>
        </w:tc>
        <w:tc>
          <w:tcPr>
            <w:tcW w:w="1700" w:type="dxa"/>
          </w:tcPr>
          <w:p w14:paraId="75544C44" w14:textId="5929AA0D"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2.62</w:t>
            </w:r>
          </w:p>
        </w:tc>
      </w:tr>
      <w:tr w:rsidR="00761191" w:rsidRPr="00CE50D8" w14:paraId="536A16C7" w14:textId="3DFEB7DA"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1D7260D"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(9l)</w:t>
            </w:r>
          </w:p>
        </w:tc>
        <w:tc>
          <w:tcPr>
            <w:tcW w:w="2126" w:type="dxa"/>
          </w:tcPr>
          <w:p w14:paraId="65DBBE86"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OH</w:t>
            </w:r>
          </w:p>
          <w:p w14:paraId="3A2919FC"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anchor distT="0" distB="0" distL="114300" distR="114300" simplePos="0" relativeHeight="251683840" behindDoc="1" locked="0" layoutInCell="1" allowOverlap="1" wp14:anchorId="21A2EB79" wp14:editId="02305674">
                  <wp:simplePos x="0" y="0"/>
                  <wp:positionH relativeFrom="column">
                    <wp:posOffset>451485</wp:posOffset>
                  </wp:positionH>
                  <wp:positionV relativeFrom="paragraph">
                    <wp:posOffset>161925</wp:posOffset>
                  </wp:positionV>
                  <wp:extent cx="685800" cy="474980"/>
                  <wp:effectExtent l="0" t="0" r="0" b="0"/>
                  <wp:wrapTight wrapText="bothSides">
                    <wp:wrapPolygon edited="0">
                      <wp:start x="15000" y="0"/>
                      <wp:lineTo x="0" y="8663"/>
                      <wp:lineTo x="0" y="19059"/>
                      <wp:lineTo x="1200" y="20791"/>
                      <wp:lineTo x="4800" y="20791"/>
                      <wp:lineTo x="6000" y="19059"/>
                      <wp:lineTo x="12600" y="14727"/>
                      <wp:lineTo x="12600" y="13861"/>
                      <wp:lineTo x="20400" y="8663"/>
                      <wp:lineTo x="21000" y="866"/>
                      <wp:lineTo x="18600" y="0"/>
                      <wp:lineTo x="15000" y="0"/>
                    </wp:wrapPolygon>
                  </wp:wrapTight>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474980"/>
                          </a:xfrm>
                          <a:prstGeom prst="rect">
                            <a:avLst/>
                          </a:prstGeom>
                          <a:noFill/>
                        </pic:spPr>
                      </pic:pic>
                    </a:graphicData>
                  </a:graphic>
                </wp:anchor>
              </w:drawing>
            </w: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H</w:t>
            </w:r>
          </w:p>
          <w:p w14:paraId="55D6A353"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w:t>
            </w:r>
          </w:p>
        </w:tc>
        <w:tc>
          <w:tcPr>
            <w:tcW w:w="2126" w:type="dxa"/>
          </w:tcPr>
          <w:p w14:paraId="26448BA2"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11.00±0.89</w:t>
            </w:r>
          </w:p>
        </w:tc>
        <w:tc>
          <w:tcPr>
            <w:tcW w:w="2127" w:type="dxa"/>
          </w:tcPr>
          <w:p w14:paraId="2EAD8F95"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18.26±1.25</w:t>
            </w:r>
          </w:p>
        </w:tc>
        <w:tc>
          <w:tcPr>
            <w:tcW w:w="1700" w:type="dxa"/>
          </w:tcPr>
          <w:p w14:paraId="6FDFF671" w14:textId="78127AAD"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0.60</w:t>
            </w:r>
          </w:p>
        </w:tc>
      </w:tr>
      <w:tr w:rsidR="00761191" w:rsidRPr="00CE50D8" w14:paraId="33C3F640" w14:textId="7DFE3B7E" w:rsidTr="001F5B53">
        <w:tc>
          <w:tcPr>
            <w:cnfStyle w:val="001000000000" w:firstRow="0" w:lastRow="0" w:firstColumn="1" w:lastColumn="0" w:oddVBand="0" w:evenVBand="0" w:oddHBand="0" w:evenHBand="0" w:firstRowFirstColumn="0" w:firstRowLastColumn="0" w:lastRowFirstColumn="0" w:lastRowLastColumn="0"/>
            <w:tcW w:w="1413" w:type="dxa"/>
          </w:tcPr>
          <w:p w14:paraId="27F8AD5B"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 xml:space="preserve"> (9m)</w:t>
            </w:r>
          </w:p>
        </w:tc>
        <w:tc>
          <w:tcPr>
            <w:tcW w:w="2126" w:type="dxa"/>
          </w:tcPr>
          <w:p w14:paraId="0A1F4677"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6CDF04DE"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anchor distT="0" distB="0" distL="114300" distR="114300" simplePos="0" relativeHeight="251684864" behindDoc="1" locked="0" layoutInCell="1" allowOverlap="1" wp14:anchorId="13715D49" wp14:editId="7F147563">
                  <wp:simplePos x="0" y="0"/>
                  <wp:positionH relativeFrom="column">
                    <wp:posOffset>464185</wp:posOffset>
                  </wp:positionH>
                  <wp:positionV relativeFrom="paragraph">
                    <wp:posOffset>170815</wp:posOffset>
                  </wp:positionV>
                  <wp:extent cx="685800" cy="474980"/>
                  <wp:effectExtent l="0" t="0" r="0" b="0"/>
                  <wp:wrapTight wrapText="bothSides">
                    <wp:wrapPolygon edited="0">
                      <wp:start x="15000" y="0"/>
                      <wp:lineTo x="0" y="8663"/>
                      <wp:lineTo x="0" y="19059"/>
                      <wp:lineTo x="1200" y="20791"/>
                      <wp:lineTo x="4800" y="20791"/>
                      <wp:lineTo x="6000" y="19059"/>
                      <wp:lineTo x="12600" y="14727"/>
                      <wp:lineTo x="12600" y="13861"/>
                      <wp:lineTo x="20400" y="8663"/>
                      <wp:lineTo x="21000" y="866"/>
                      <wp:lineTo x="18600" y="0"/>
                      <wp:lineTo x="15000" y="0"/>
                    </wp:wrapPolygon>
                  </wp:wrapTight>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474980"/>
                          </a:xfrm>
                          <a:prstGeom prst="rect">
                            <a:avLst/>
                          </a:prstGeom>
                          <a:noFill/>
                        </pic:spPr>
                      </pic:pic>
                    </a:graphicData>
                  </a:graphic>
                </wp:anchor>
              </w:drawing>
            </w: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H</w:t>
            </w:r>
          </w:p>
          <w:p w14:paraId="42CA96FC"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w:t>
            </w:r>
          </w:p>
        </w:tc>
        <w:tc>
          <w:tcPr>
            <w:tcW w:w="2126" w:type="dxa"/>
          </w:tcPr>
          <w:p w14:paraId="710F0F65"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50.49±3.86</w:t>
            </w:r>
          </w:p>
        </w:tc>
        <w:tc>
          <w:tcPr>
            <w:tcW w:w="2127" w:type="dxa"/>
          </w:tcPr>
          <w:p w14:paraId="69CE8B54"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13.90±1.93</w:t>
            </w:r>
          </w:p>
        </w:tc>
        <w:tc>
          <w:tcPr>
            <w:tcW w:w="1700" w:type="dxa"/>
          </w:tcPr>
          <w:p w14:paraId="1D3D4716" w14:textId="2B442CAC"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3.63</w:t>
            </w:r>
          </w:p>
        </w:tc>
      </w:tr>
      <w:tr w:rsidR="00761191" w:rsidRPr="00CE50D8" w14:paraId="50A2E150" w14:textId="52DCE9A3"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FCABBD4"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(9n)</w:t>
            </w:r>
          </w:p>
        </w:tc>
        <w:tc>
          <w:tcPr>
            <w:tcW w:w="2126" w:type="dxa"/>
          </w:tcPr>
          <w:p w14:paraId="1F94B844"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276DD31C"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anchor distT="0" distB="0" distL="114300" distR="114300" simplePos="0" relativeHeight="251685888" behindDoc="1" locked="0" layoutInCell="1" allowOverlap="1" wp14:anchorId="4EE84CD4" wp14:editId="40D83037">
                  <wp:simplePos x="0" y="0"/>
                  <wp:positionH relativeFrom="column">
                    <wp:posOffset>483870</wp:posOffset>
                  </wp:positionH>
                  <wp:positionV relativeFrom="paragraph">
                    <wp:posOffset>121285</wp:posOffset>
                  </wp:positionV>
                  <wp:extent cx="530225" cy="502920"/>
                  <wp:effectExtent l="0" t="0" r="3175" b="0"/>
                  <wp:wrapTight wrapText="bothSides">
                    <wp:wrapPolygon edited="0">
                      <wp:start x="12417" y="0"/>
                      <wp:lineTo x="0" y="6545"/>
                      <wp:lineTo x="0" y="19636"/>
                      <wp:lineTo x="18625" y="20455"/>
                      <wp:lineTo x="20953" y="20455"/>
                      <wp:lineTo x="20953" y="4091"/>
                      <wp:lineTo x="16297" y="0"/>
                      <wp:lineTo x="12417" y="0"/>
                    </wp:wrapPolygon>
                  </wp:wrapTight>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0225" cy="502920"/>
                          </a:xfrm>
                          <a:prstGeom prst="rect">
                            <a:avLst/>
                          </a:prstGeom>
                          <a:noFill/>
                        </pic:spPr>
                      </pic:pic>
                    </a:graphicData>
                  </a:graphic>
                </wp:anchor>
              </w:drawing>
            </w: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H</w:t>
            </w:r>
          </w:p>
          <w:p w14:paraId="3B489ACF"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w:t>
            </w:r>
          </w:p>
        </w:tc>
        <w:tc>
          <w:tcPr>
            <w:tcW w:w="2126" w:type="dxa"/>
          </w:tcPr>
          <w:p w14:paraId="6B67D588"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23.81±2.82</w:t>
            </w:r>
          </w:p>
        </w:tc>
        <w:tc>
          <w:tcPr>
            <w:tcW w:w="2127" w:type="dxa"/>
          </w:tcPr>
          <w:p w14:paraId="0977B68C"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6.93±2.44</w:t>
            </w:r>
          </w:p>
        </w:tc>
        <w:tc>
          <w:tcPr>
            <w:tcW w:w="1700" w:type="dxa"/>
          </w:tcPr>
          <w:p w14:paraId="7FFBF976" w14:textId="5EAA4224"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3.43</w:t>
            </w:r>
          </w:p>
        </w:tc>
      </w:tr>
      <w:tr w:rsidR="00761191" w:rsidRPr="00CE50D8" w14:paraId="3E845CBF" w14:textId="009E2F9D" w:rsidTr="001F5B53">
        <w:tc>
          <w:tcPr>
            <w:cnfStyle w:val="001000000000" w:firstRow="0" w:lastRow="0" w:firstColumn="1" w:lastColumn="0" w:oddVBand="0" w:evenVBand="0" w:oddHBand="0" w:evenHBand="0" w:firstRowFirstColumn="0" w:firstRowLastColumn="0" w:lastRowFirstColumn="0" w:lastRowLastColumn="0"/>
            <w:tcW w:w="1413" w:type="dxa"/>
          </w:tcPr>
          <w:p w14:paraId="13AAACB5"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(9o)</w:t>
            </w:r>
          </w:p>
        </w:tc>
        <w:tc>
          <w:tcPr>
            <w:tcW w:w="2126" w:type="dxa"/>
          </w:tcPr>
          <w:p w14:paraId="15B04BC9"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OH</w:t>
            </w:r>
          </w:p>
          <w:p w14:paraId="2758220E"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GB" w:eastAsia="en-GB" w:bidi="ar-SA"/>
              </w:rPr>
              <w:drawing>
                <wp:anchor distT="0" distB="0" distL="114300" distR="114300" simplePos="0" relativeHeight="251686912" behindDoc="1" locked="0" layoutInCell="1" allowOverlap="1" wp14:anchorId="40BE8798" wp14:editId="6864B559">
                  <wp:simplePos x="0" y="0"/>
                  <wp:positionH relativeFrom="column">
                    <wp:posOffset>483870</wp:posOffset>
                  </wp:positionH>
                  <wp:positionV relativeFrom="paragraph">
                    <wp:posOffset>75565</wp:posOffset>
                  </wp:positionV>
                  <wp:extent cx="530225" cy="502920"/>
                  <wp:effectExtent l="0" t="0" r="0" b="0"/>
                  <wp:wrapTight wrapText="bothSides">
                    <wp:wrapPolygon edited="0">
                      <wp:start x="12417" y="0"/>
                      <wp:lineTo x="0" y="6545"/>
                      <wp:lineTo x="0" y="19636"/>
                      <wp:lineTo x="18625" y="20455"/>
                      <wp:lineTo x="20953" y="20455"/>
                      <wp:lineTo x="20953" y="4091"/>
                      <wp:lineTo x="16297" y="0"/>
                      <wp:lineTo x="12417" y="0"/>
                    </wp:wrapPolygon>
                  </wp:wrapTight>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0225" cy="502920"/>
                          </a:xfrm>
                          <a:prstGeom prst="rect">
                            <a:avLst/>
                          </a:prstGeom>
                          <a:noFill/>
                        </pic:spPr>
                      </pic:pic>
                    </a:graphicData>
                  </a:graphic>
                </wp:anchor>
              </w:drawing>
            </w: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H</w:t>
            </w:r>
          </w:p>
          <w:p w14:paraId="7B1F4A39"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w:t>
            </w:r>
          </w:p>
        </w:tc>
        <w:tc>
          <w:tcPr>
            <w:tcW w:w="2126" w:type="dxa"/>
          </w:tcPr>
          <w:p w14:paraId="7A6F766C"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19.44±3.61</w:t>
            </w:r>
          </w:p>
        </w:tc>
        <w:tc>
          <w:tcPr>
            <w:tcW w:w="2127" w:type="dxa"/>
          </w:tcPr>
          <w:p w14:paraId="211F080B"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10.47±2.93</w:t>
            </w:r>
          </w:p>
        </w:tc>
        <w:tc>
          <w:tcPr>
            <w:tcW w:w="1700" w:type="dxa"/>
          </w:tcPr>
          <w:p w14:paraId="4F95445E" w14:textId="7A9276CA"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1.85</w:t>
            </w:r>
          </w:p>
        </w:tc>
      </w:tr>
      <w:tr w:rsidR="00761191" w:rsidRPr="00CE50D8" w14:paraId="6BAD75BE" w14:textId="2C6CBC0B"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6E6E18D"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(10a)</w:t>
            </w:r>
          </w:p>
        </w:tc>
        <w:tc>
          <w:tcPr>
            <w:tcW w:w="2126" w:type="dxa"/>
          </w:tcPr>
          <w:p w14:paraId="1267DA15"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352614D9"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CH</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OH</w:t>
            </w:r>
          </w:p>
          <w:p w14:paraId="10FA8BAC"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H</w:t>
            </w:r>
          </w:p>
          <w:p w14:paraId="76CCF9DB"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4</w:t>
            </w:r>
            <w:r w:rsidRPr="00CE50D8">
              <w:rPr>
                <w:rFonts w:ascii="Times New Roman" w:eastAsia="Times New Roman" w:hAnsi="Times New Roman" w:cs="Times New Roman"/>
                <w:snapToGrid w:val="0"/>
                <w:kern w:val="0"/>
                <w:lang w:val="en-US" w:eastAsia="de-DE" w:bidi="en-US"/>
              </w:rPr>
              <w:t xml:space="preserve"> = H</w:t>
            </w:r>
          </w:p>
        </w:tc>
        <w:tc>
          <w:tcPr>
            <w:tcW w:w="2126" w:type="dxa"/>
          </w:tcPr>
          <w:p w14:paraId="309A457D" w14:textId="10F114EA"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83.09±2.56</w:t>
            </w:r>
          </w:p>
          <w:p w14:paraId="29689ADD" w14:textId="57FFECB6" w:rsidR="00DE0343" w:rsidRPr="00CE50D8" w:rsidRDefault="00DE0343" w:rsidP="00744220">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w:t>
            </w:r>
            <w:r w:rsidRPr="00CE50D8">
              <w:rPr>
                <w:szCs w:val="20"/>
              </w:rPr>
              <w:t>35.22</w:t>
            </w:r>
            <w:r w:rsidRPr="00CE50D8">
              <w:rPr>
                <w:rFonts w:cstheme="minorHAnsi"/>
                <w:szCs w:val="20"/>
              </w:rPr>
              <w:t>±</w:t>
            </w:r>
            <w:r w:rsidRPr="00CE50D8">
              <w:rPr>
                <w:szCs w:val="20"/>
              </w:rPr>
              <w:t>4.04</w:t>
            </w:r>
            <w:r w:rsidRPr="00CE50D8">
              <w:rPr>
                <w:rFonts w:ascii="Times New Roman" w:eastAsia="Times New Roman" w:hAnsi="Times New Roman" w:cs="Times New Roman"/>
                <w:snapToGrid w:val="0"/>
                <w:kern w:val="0"/>
                <w:lang w:val="en-US" w:eastAsia="de-DE" w:bidi="en-US"/>
              </w:rPr>
              <w:t>)</w:t>
            </w:r>
          </w:p>
        </w:tc>
        <w:tc>
          <w:tcPr>
            <w:tcW w:w="2127" w:type="dxa"/>
          </w:tcPr>
          <w:p w14:paraId="2D09CA95"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26.22±3.95</w:t>
            </w:r>
          </w:p>
        </w:tc>
        <w:tc>
          <w:tcPr>
            <w:tcW w:w="1700" w:type="dxa"/>
          </w:tcPr>
          <w:p w14:paraId="6276B488" w14:textId="07ED603A"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3.16</w:t>
            </w:r>
          </w:p>
        </w:tc>
      </w:tr>
      <w:tr w:rsidR="00761191" w:rsidRPr="00CE50D8" w14:paraId="187658D1" w14:textId="7EF8AAA1" w:rsidTr="001F5B53">
        <w:tc>
          <w:tcPr>
            <w:cnfStyle w:val="001000000000" w:firstRow="0" w:lastRow="0" w:firstColumn="1" w:lastColumn="0" w:oddVBand="0" w:evenVBand="0" w:oddHBand="0" w:evenHBand="0" w:firstRowFirstColumn="0" w:firstRowLastColumn="0" w:lastRowFirstColumn="0" w:lastRowLastColumn="0"/>
            <w:tcW w:w="1413" w:type="dxa"/>
          </w:tcPr>
          <w:p w14:paraId="788ADC07"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lastRenderedPageBreak/>
              <w:t>(10b)</w:t>
            </w:r>
          </w:p>
        </w:tc>
        <w:tc>
          <w:tcPr>
            <w:tcW w:w="2126" w:type="dxa"/>
          </w:tcPr>
          <w:p w14:paraId="0227E8DD"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501D248D"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CH</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OH</w:t>
            </w:r>
          </w:p>
          <w:p w14:paraId="09100CE5"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H</w:t>
            </w:r>
          </w:p>
          <w:p w14:paraId="47CB653D"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4</w:t>
            </w:r>
            <w:r w:rsidRPr="00CE50D8">
              <w:rPr>
                <w:rFonts w:ascii="Times New Roman" w:eastAsia="Times New Roman" w:hAnsi="Times New Roman" w:cs="Times New Roman"/>
                <w:snapToGrid w:val="0"/>
                <w:kern w:val="0"/>
                <w:lang w:val="en-US" w:eastAsia="de-DE" w:bidi="en-US"/>
              </w:rPr>
              <w:t xml:space="preserve"> = CH</w:t>
            </w:r>
            <w:r w:rsidRPr="00CE50D8">
              <w:rPr>
                <w:rFonts w:ascii="Times New Roman" w:eastAsia="Times New Roman" w:hAnsi="Times New Roman" w:cs="Times New Roman"/>
                <w:snapToGrid w:val="0"/>
                <w:kern w:val="0"/>
                <w:vertAlign w:val="subscript"/>
                <w:lang w:val="en-US" w:eastAsia="de-DE" w:bidi="en-US"/>
              </w:rPr>
              <w:t>3</w:t>
            </w:r>
          </w:p>
        </w:tc>
        <w:tc>
          <w:tcPr>
            <w:tcW w:w="2126" w:type="dxa"/>
          </w:tcPr>
          <w:p w14:paraId="60F7A9E7" w14:textId="0BBC0CD5"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91.14±0.96</w:t>
            </w:r>
          </w:p>
          <w:p w14:paraId="183DED78" w14:textId="0ACB0389" w:rsidR="00DE0343" w:rsidRPr="00CE50D8" w:rsidRDefault="00DE0343" w:rsidP="00744220">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w:t>
            </w:r>
            <w:bookmarkStart w:id="9" w:name="_Hlk54381400"/>
            <w:r w:rsidRPr="00CE50D8">
              <w:rPr>
                <w:szCs w:val="20"/>
              </w:rPr>
              <w:t>13.10</w:t>
            </w:r>
            <w:r w:rsidRPr="00CE50D8">
              <w:rPr>
                <w:rFonts w:cstheme="minorHAnsi"/>
                <w:szCs w:val="20"/>
              </w:rPr>
              <w:t>±</w:t>
            </w:r>
            <w:r w:rsidRPr="00CE50D8">
              <w:rPr>
                <w:szCs w:val="20"/>
              </w:rPr>
              <w:t>0.53</w:t>
            </w:r>
            <w:bookmarkEnd w:id="9"/>
            <w:r w:rsidRPr="00CE50D8">
              <w:rPr>
                <w:rFonts w:ascii="Times New Roman" w:eastAsia="Times New Roman" w:hAnsi="Times New Roman" w:cs="Times New Roman"/>
                <w:snapToGrid w:val="0"/>
                <w:kern w:val="0"/>
                <w:lang w:val="en-US" w:eastAsia="de-DE" w:bidi="en-US"/>
              </w:rPr>
              <w:t>)</w:t>
            </w:r>
          </w:p>
        </w:tc>
        <w:tc>
          <w:tcPr>
            <w:tcW w:w="2127" w:type="dxa"/>
          </w:tcPr>
          <w:p w14:paraId="1ACBD350"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34.65±2.94</w:t>
            </w:r>
          </w:p>
        </w:tc>
        <w:tc>
          <w:tcPr>
            <w:tcW w:w="1700" w:type="dxa"/>
          </w:tcPr>
          <w:p w14:paraId="24B6F1E7" w14:textId="47240EB4"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2.63</w:t>
            </w:r>
          </w:p>
        </w:tc>
      </w:tr>
      <w:tr w:rsidR="00761191" w:rsidRPr="00CE50D8" w14:paraId="69E79723" w14:textId="196AF7DF"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F39F89C"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(10c)</w:t>
            </w:r>
          </w:p>
        </w:tc>
        <w:tc>
          <w:tcPr>
            <w:tcW w:w="2126" w:type="dxa"/>
          </w:tcPr>
          <w:p w14:paraId="3E03325E"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1BB014BF"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H</w:t>
            </w:r>
          </w:p>
          <w:p w14:paraId="4D1899A2"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H</w:t>
            </w:r>
          </w:p>
          <w:p w14:paraId="43CAC92C"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4</w:t>
            </w:r>
            <w:r w:rsidRPr="00CE50D8">
              <w:rPr>
                <w:rFonts w:ascii="Times New Roman" w:eastAsia="Times New Roman" w:hAnsi="Times New Roman" w:cs="Times New Roman"/>
                <w:snapToGrid w:val="0"/>
                <w:kern w:val="0"/>
                <w:lang w:val="en-US" w:eastAsia="de-DE" w:bidi="en-US"/>
              </w:rPr>
              <w:t xml:space="preserve"> = CH</w:t>
            </w:r>
            <w:r w:rsidRPr="00CE50D8">
              <w:rPr>
                <w:rFonts w:ascii="Times New Roman" w:eastAsia="Times New Roman" w:hAnsi="Times New Roman" w:cs="Times New Roman"/>
                <w:snapToGrid w:val="0"/>
                <w:kern w:val="0"/>
                <w:vertAlign w:val="subscript"/>
                <w:lang w:val="en-US" w:eastAsia="de-DE" w:bidi="en-US"/>
              </w:rPr>
              <w:t>3</w:t>
            </w:r>
          </w:p>
        </w:tc>
        <w:tc>
          <w:tcPr>
            <w:tcW w:w="2126" w:type="dxa"/>
          </w:tcPr>
          <w:p w14:paraId="55947759" w14:textId="48450738"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78.66±3.43</w:t>
            </w:r>
          </w:p>
          <w:p w14:paraId="3BB36D6B" w14:textId="53E8B714" w:rsidR="00DE0343" w:rsidRPr="00CE50D8" w:rsidRDefault="00DE0343" w:rsidP="00744220">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w:t>
            </w:r>
            <w:r w:rsidRPr="00CE50D8">
              <w:rPr>
                <w:szCs w:val="20"/>
              </w:rPr>
              <w:t>36.48</w:t>
            </w:r>
            <w:r w:rsidRPr="00CE50D8">
              <w:rPr>
                <w:rFonts w:cstheme="minorHAnsi"/>
                <w:szCs w:val="20"/>
              </w:rPr>
              <w:t>±</w:t>
            </w:r>
            <w:r w:rsidRPr="00CE50D8">
              <w:rPr>
                <w:szCs w:val="20"/>
              </w:rPr>
              <w:t>2.52</w:t>
            </w:r>
            <w:r w:rsidRPr="00CE50D8">
              <w:rPr>
                <w:rFonts w:ascii="Times New Roman" w:eastAsia="Times New Roman" w:hAnsi="Times New Roman" w:cs="Times New Roman"/>
                <w:snapToGrid w:val="0"/>
                <w:kern w:val="0"/>
                <w:lang w:val="en-US" w:eastAsia="de-DE" w:bidi="en-US"/>
              </w:rPr>
              <w:t>)</w:t>
            </w:r>
          </w:p>
        </w:tc>
        <w:tc>
          <w:tcPr>
            <w:tcW w:w="2127" w:type="dxa"/>
          </w:tcPr>
          <w:p w14:paraId="6D7984C6"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17.56±0.64</w:t>
            </w:r>
          </w:p>
        </w:tc>
        <w:tc>
          <w:tcPr>
            <w:tcW w:w="1700" w:type="dxa"/>
          </w:tcPr>
          <w:p w14:paraId="37B3EE65" w14:textId="04EA9EE4" w:rsidR="00DE0343" w:rsidRPr="00CE50D8" w:rsidRDefault="00CB2C9D"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4.47</w:t>
            </w:r>
          </w:p>
        </w:tc>
      </w:tr>
      <w:tr w:rsidR="00761191" w:rsidRPr="00CE50D8" w14:paraId="15262FD4" w14:textId="0CCD5E01" w:rsidTr="001F5B53">
        <w:tc>
          <w:tcPr>
            <w:cnfStyle w:val="001000000000" w:firstRow="0" w:lastRow="0" w:firstColumn="1" w:lastColumn="0" w:oddVBand="0" w:evenVBand="0" w:oddHBand="0" w:evenHBand="0" w:firstRowFirstColumn="0" w:firstRowLastColumn="0" w:lastRowFirstColumn="0" w:lastRowLastColumn="0"/>
            <w:tcW w:w="1413" w:type="dxa"/>
          </w:tcPr>
          <w:p w14:paraId="749E199D"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(10d)</w:t>
            </w:r>
          </w:p>
        </w:tc>
        <w:tc>
          <w:tcPr>
            <w:tcW w:w="2126" w:type="dxa"/>
          </w:tcPr>
          <w:p w14:paraId="70499E8F"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5354BDF9"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H</w:t>
            </w:r>
          </w:p>
          <w:p w14:paraId="7508D431"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H</w:t>
            </w:r>
          </w:p>
          <w:p w14:paraId="6EC15ABA"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4</w:t>
            </w:r>
            <w:r w:rsidRPr="00CE50D8">
              <w:rPr>
                <w:rFonts w:ascii="Times New Roman" w:eastAsia="Times New Roman" w:hAnsi="Times New Roman" w:cs="Times New Roman"/>
                <w:snapToGrid w:val="0"/>
                <w:kern w:val="0"/>
                <w:lang w:val="en-US" w:eastAsia="de-DE" w:bidi="en-US"/>
              </w:rPr>
              <w:t xml:space="preserve"> = H</w:t>
            </w:r>
          </w:p>
        </w:tc>
        <w:tc>
          <w:tcPr>
            <w:tcW w:w="2126" w:type="dxa"/>
          </w:tcPr>
          <w:p w14:paraId="0AC28663"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48.80±2.43</w:t>
            </w:r>
          </w:p>
        </w:tc>
        <w:tc>
          <w:tcPr>
            <w:tcW w:w="2127" w:type="dxa"/>
          </w:tcPr>
          <w:p w14:paraId="63AA3E55"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12.93±2.16</w:t>
            </w:r>
          </w:p>
        </w:tc>
        <w:tc>
          <w:tcPr>
            <w:tcW w:w="1700" w:type="dxa"/>
          </w:tcPr>
          <w:p w14:paraId="3D9C0084" w14:textId="4FBA6595" w:rsidR="00DE0343" w:rsidRPr="00CE50D8" w:rsidRDefault="00CB2C9D"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3.77</w:t>
            </w:r>
          </w:p>
        </w:tc>
      </w:tr>
      <w:tr w:rsidR="00761191" w:rsidRPr="00CE50D8" w14:paraId="61068ABB" w14:textId="24CC8B9E"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5058F89"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(10e)</w:t>
            </w:r>
          </w:p>
        </w:tc>
        <w:tc>
          <w:tcPr>
            <w:tcW w:w="2126" w:type="dxa"/>
          </w:tcPr>
          <w:p w14:paraId="71606B76"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OH</w:t>
            </w:r>
          </w:p>
          <w:p w14:paraId="1B076EE7"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H</w:t>
            </w:r>
          </w:p>
          <w:p w14:paraId="07365017"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H</w:t>
            </w:r>
          </w:p>
          <w:p w14:paraId="49AB305C"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4</w:t>
            </w:r>
            <w:r w:rsidRPr="00CE50D8">
              <w:rPr>
                <w:rFonts w:ascii="Times New Roman" w:eastAsia="Times New Roman" w:hAnsi="Times New Roman" w:cs="Times New Roman"/>
                <w:snapToGrid w:val="0"/>
                <w:kern w:val="0"/>
                <w:lang w:val="en-US" w:eastAsia="de-DE" w:bidi="en-US"/>
              </w:rPr>
              <w:t xml:space="preserve"> = CH</w:t>
            </w:r>
            <w:r w:rsidRPr="00CE50D8">
              <w:rPr>
                <w:rFonts w:ascii="Times New Roman" w:eastAsia="Times New Roman" w:hAnsi="Times New Roman" w:cs="Times New Roman"/>
                <w:snapToGrid w:val="0"/>
                <w:kern w:val="0"/>
                <w:vertAlign w:val="subscript"/>
                <w:lang w:val="en-US" w:eastAsia="de-DE" w:bidi="en-US"/>
              </w:rPr>
              <w:t>3</w:t>
            </w:r>
          </w:p>
        </w:tc>
        <w:tc>
          <w:tcPr>
            <w:tcW w:w="2126" w:type="dxa"/>
          </w:tcPr>
          <w:p w14:paraId="476B277E" w14:textId="1B32BFE5"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81.15±4.42</w:t>
            </w:r>
          </w:p>
          <w:p w14:paraId="74D6E017" w14:textId="05BE4BC2" w:rsidR="00DE0343" w:rsidRPr="00CE50D8" w:rsidRDefault="00DE0343" w:rsidP="00744220">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w:t>
            </w:r>
            <w:r w:rsidRPr="00CE50D8">
              <w:rPr>
                <w:szCs w:val="20"/>
              </w:rPr>
              <w:t>54.16</w:t>
            </w:r>
            <w:r w:rsidRPr="00CE50D8">
              <w:rPr>
                <w:rFonts w:cstheme="minorHAnsi"/>
                <w:szCs w:val="20"/>
              </w:rPr>
              <w:t>±</w:t>
            </w:r>
            <w:r w:rsidRPr="00CE50D8">
              <w:rPr>
                <w:szCs w:val="20"/>
              </w:rPr>
              <w:t>1.21</w:t>
            </w:r>
            <w:r w:rsidRPr="00CE50D8">
              <w:rPr>
                <w:rFonts w:ascii="Times New Roman" w:eastAsia="Times New Roman" w:hAnsi="Times New Roman" w:cs="Times New Roman"/>
                <w:snapToGrid w:val="0"/>
                <w:kern w:val="0"/>
                <w:lang w:val="en-US" w:eastAsia="de-DE" w:bidi="en-US"/>
              </w:rPr>
              <w:t>)</w:t>
            </w:r>
          </w:p>
        </w:tc>
        <w:tc>
          <w:tcPr>
            <w:tcW w:w="2127" w:type="dxa"/>
          </w:tcPr>
          <w:p w14:paraId="725FD1F5"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21.23±3.66</w:t>
            </w:r>
          </w:p>
        </w:tc>
        <w:tc>
          <w:tcPr>
            <w:tcW w:w="1700" w:type="dxa"/>
          </w:tcPr>
          <w:p w14:paraId="5614E0B3" w14:textId="1E98B61D" w:rsidR="00DE0343" w:rsidRPr="00CE50D8" w:rsidRDefault="00CB2C9D"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3.82</w:t>
            </w:r>
          </w:p>
        </w:tc>
      </w:tr>
      <w:tr w:rsidR="00761191" w:rsidRPr="00CE50D8" w14:paraId="6FEE6135" w14:textId="79FD049F" w:rsidTr="001F5B53">
        <w:tc>
          <w:tcPr>
            <w:cnfStyle w:val="001000000000" w:firstRow="0" w:lastRow="0" w:firstColumn="1" w:lastColumn="0" w:oddVBand="0" w:evenVBand="0" w:oddHBand="0" w:evenHBand="0" w:firstRowFirstColumn="0" w:firstRowLastColumn="0" w:lastRowFirstColumn="0" w:lastRowLastColumn="0"/>
            <w:tcW w:w="1413" w:type="dxa"/>
          </w:tcPr>
          <w:p w14:paraId="530502F8"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(10f)</w:t>
            </w:r>
          </w:p>
        </w:tc>
        <w:tc>
          <w:tcPr>
            <w:tcW w:w="2126" w:type="dxa"/>
          </w:tcPr>
          <w:p w14:paraId="024FD889"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OH</w:t>
            </w:r>
          </w:p>
          <w:p w14:paraId="4C32BD96"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H</w:t>
            </w:r>
          </w:p>
          <w:p w14:paraId="519FF7B7"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H</w:t>
            </w:r>
          </w:p>
          <w:p w14:paraId="00EEF842"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4</w:t>
            </w:r>
            <w:r w:rsidRPr="00CE50D8">
              <w:rPr>
                <w:rFonts w:ascii="Times New Roman" w:eastAsia="Times New Roman" w:hAnsi="Times New Roman" w:cs="Times New Roman"/>
                <w:snapToGrid w:val="0"/>
                <w:kern w:val="0"/>
                <w:lang w:val="en-US" w:eastAsia="de-DE" w:bidi="en-US"/>
              </w:rPr>
              <w:t xml:space="preserve"> = H</w:t>
            </w:r>
          </w:p>
        </w:tc>
        <w:tc>
          <w:tcPr>
            <w:tcW w:w="2126" w:type="dxa"/>
          </w:tcPr>
          <w:p w14:paraId="6AB6A81B" w14:textId="04F871C9"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50.91±1.60</w:t>
            </w:r>
          </w:p>
          <w:p w14:paraId="7C5C137C" w14:textId="21E12BBC" w:rsidR="00DE0343" w:rsidRPr="00CE50D8" w:rsidRDefault="00DE0343" w:rsidP="00744220">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w:t>
            </w:r>
            <w:r w:rsidRPr="00CE50D8">
              <w:t>368.75</w:t>
            </w:r>
            <w:r w:rsidRPr="00CE50D8">
              <w:rPr>
                <w:rFonts w:cstheme="minorHAnsi"/>
              </w:rPr>
              <w:t>±</w:t>
            </w:r>
            <w:r w:rsidRPr="00CE50D8">
              <w:t>5.44</w:t>
            </w:r>
            <w:r w:rsidRPr="00CE50D8">
              <w:rPr>
                <w:rFonts w:ascii="Times New Roman" w:eastAsia="Times New Roman" w:hAnsi="Times New Roman" w:cs="Times New Roman"/>
                <w:snapToGrid w:val="0"/>
                <w:kern w:val="0"/>
                <w:lang w:val="en-US" w:eastAsia="de-DE" w:bidi="en-US"/>
              </w:rPr>
              <w:t>)</w:t>
            </w:r>
          </w:p>
        </w:tc>
        <w:tc>
          <w:tcPr>
            <w:tcW w:w="2127" w:type="dxa"/>
          </w:tcPr>
          <w:p w14:paraId="73647521"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8.56±1.12</w:t>
            </w:r>
          </w:p>
        </w:tc>
        <w:tc>
          <w:tcPr>
            <w:tcW w:w="1700" w:type="dxa"/>
          </w:tcPr>
          <w:p w14:paraId="7AA7408B" w14:textId="4146BA03" w:rsidR="00DE0343" w:rsidRPr="00CE50D8" w:rsidRDefault="00CB2C9D"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5.94</w:t>
            </w:r>
          </w:p>
        </w:tc>
      </w:tr>
      <w:tr w:rsidR="00761191" w:rsidRPr="00CE50D8" w14:paraId="7234B4C2" w14:textId="7D640D34"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7140F96"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(10g)</w:t>
            </w:r>
          </w:p>
        </w:tc>
        <w:tc>
          <w:tcPr>
            <w:tcW w:w="2126" w:type="dxa"/>
          </w:tcPr>
          <w:p w14:paraId="47A6C588"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OH</w:t>
            </w:r>
          </w:p>
          <w:p w14:paraId="63F4DCA7"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H</w:t>
            </w:r>
          </w:p>
          <w:p w14:paraId="43C1E23C"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H</w:t>
            </w:r>
          </w:p>
          <w:p w14:paraId="00110366"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4</w:t>
            </w:r>
            <w:r w:rsidRPr="00CE50D8">
              <w:rPr>
                <w:rFonts w:ascii="Times New Roman" w:eastAsia="Times New Roman" w:hAnsi="Times New Roman" w:cs="Times New Roman"/>
                <w:snapToGrid w:val="0"/>
                <w:kern w:val="0"/>
                <w:lang w:val="en-US" w:eastAsia="de-DE" w:bidi="en-US"/>
              </w:rPr>
              <w:t xml:space="preserve"> = Cl</w:t>
            </w:r>
          </w:p>
        </w:tc>
        <w:tc>
          <w:tcPr>
            <w:tcW w:w="2126" w:type="dxa"/>
          </w:tcPr>
          <w:p w14:paraId="27BC0D3D" w14:textId="4A31EB55"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54.31±0.85</w:t>
            </w:r>
          </w:p>
          <w:p w14:paraId="7454A4F1" w14:textId="69D73B8C" w:rsidR="00DE0343" w:rsidRPr="00CE50D8" w:rsidRDefault="00DE0343" w:rsidP="003A2761">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w:t>
            </w:r>
            <w:r w:rsidRPr="00CE50D8">
              <w:rPr>
                <w:szCs w:val="20"/>
              </w:rPr>
              <w:t>194.10</w:t>
            </w:r>
            <w:r w:rsidRPr="00CE50D8">
              <w:rPr>
                <w:rFonts w:cstheme="minorHAnsi"/>
                <w:szCs w:val="20"/>
              </w:rPr>
              <w:t>±</w:t>
            </w:r>
            <w:r w:rsidRPr="00CE50D8">
              <w:rPr>
                <w:szCs w:val="20"/>
              </w:rPr>
              <w:t>2.8</w:t>
            </w:r>
            <w:r w:rsidRPr="00CE50D8">
              <w:rPr>
                <w:rFonts w:ascii="Times New Roman" w:eastAsia="Times New Roman" w:hAnsi="Times New Roman" w:cs="Times New Roman"/>
                <w:snapToGrid w:val="0"/>
                <w:kern w:val="0"/>
                <w:lang w:val="en-US" w:eastAsia="de-DE" w:bidi="en-US"/>
              </w:rPr>
              <w:t>)</w:t>
            </w:r>
          </w:p>
        </w:tc>
        <w:tc>
          <w:tcPr>
            <w:tcW w:w="2127" w:type="dxa"/>
          </w:tcPr>
          <w:p w14:paraId="6E489979"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12.37±3.61</w:t>
            </w:r>
          </w:p>
        </w:tc>
        <w:tc>
          <w:tcPr>
            <w:tcW w:w="1700" w:type="dxa"/>
          </w:tcPr>
          <w:p w14:paraId="025B75B6" w14:textId="289E8CAA" w:rsidR="00DE0343" w:rsidRPr="00CE50D8" w:rsidRDefault="00CB2C9D"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4.39</w:t>
            </w:r>
          </w:p>
        </w:tc>
      </w:tr>
      <w:tr w:rsidR="00761191" w:rsidRPr="00CE50D8" w14:paraId="665DFC1C" w14:textId="09BF774D" w:rsidTr="001F5B53">
        <w:tc>
          <w:tcPr>
            <w:cnfStyle w:val="001000000000" w:firstRow="0" w:lastRow="0" w:firstColumn="1" w:lastColumn="0" w:oddVBand="0" w:evenVBand="0" w:oddHBand="0" w:evenHBand="0" w:firstRowFirstColumn="0" w:firstRowLastColumn="0" w:lastRowFirstColumn="0" w:lastRowLastColumn="0"/>
            <w:tcW w:w="1413" w:type="dxa"/>
          </w:tcPr>
          <w:p w14:paraId="6B0775C7"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(10h)</w:t>
            </w:r>
          </w:p>
        </w:tc>
        <w:tc>
          <w:tcPr>
            <w:tcW w:w="2126" w:type="dxa"/>
          </w:tcPr>
          <w:p w14:paraId="183E4483"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27D71AC0"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lastRenderedPageBreak/>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H</w:t>
            </w:r>
          </w:p>
          <w:p w14:paraId="022A0455"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CH</w:t>
            </w:r>
            <w:r w:rsidRPr="00CE50D8">
              <w:rPr>
                <w:rFonts w:ascii="Times New Roman" w:eastAsia="Times New Roman" w:hAnsi="Times New Roman" w:cs="Times New Roman"/>
                <w:snapToGrid w:val="0"/>
                <w:kern w:val="0"/>
                <w:vertAlign w:val="subscript"/>
                <w:lang w:val="en-US" w:eastAsia="de-DE" w:bidi="en-US"/>
              </w:rPr>
              <w:t>3</w:t>
            </w:r>
          </w:p>
          <w:p w14:paraId="20F4D66C"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4</w:t>
            </w:r>
            <w:r w:rsidRPr="00CE50D8">
              <w:rPr>
                <w:rFonts w:ascii="Times New Roman" w:eastAsia="Times New Roman" w:hAnsi="Times New Roman" w:cs="Times New Roman"/>
                <w:snapToGrid w:val="0"/>
                <w:kern w:val="0"/>
                <w:lang w:val="en-US" w:eastAsia="de-DE" w:bidi="en-US"/>
              </w:rPr>
              <w:t xml:space="preserve"> = H</w:t>
            </w:r>
          </w:p>
        </w:tc>
        <w:tc>
          <w:tcPr>
            <w:tcW w:w="2126" w:type="dxa"/>
          </w:tcPr>
          <w:p w14:paraId="3495E8BB"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lastRenderedPageBreak/>
              <w:t xml:space="preserve">94.02±1.30 </w:t>
            </w:r>
          </w:p>
          <w:p w14:paraId="6BD2A0C9" w14:textId="25C966FE" w:rsidR="00DE0343" w:rsidRPr="00CE50D8" w:rsidRDefault="00DE0343" w:rsidP="003A2761">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lastRenderedPageBreak/>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w:t>
            </w:r>
            <w:bookmarkStart w:id="10" w:name="_Hlk54381441"/>
            <w:r w:rsidRPr="00CE50D8">
              <w:rPr>
                <w:szCs w:val="20"/>
              </w:rPr>
              <w:t>16.02</w:t>
            </w:r>
            <w:r w:rsidRPr="00CE50D8">
              <w:rPr>
                <w:rFonts w:cstheme="minorHAnsi"/>
                <w:szCs w:val="20"/>
              </w:rPr>
              <w:t>±</w:t>
            </w:r>
            <w:r w:rsidRPr="00CE50D8">
              <w:rPr>
                <w:szCs w:val="20"/>
              </w:rPr>
              <w:t>0.46</w:t>
            </w:r>
            <w:bookmarkEnd w:id="10"/>
            <w:r w:rsidRPr="00CE50D8">
              <w:rPr>
                <w:rFonts w:ascii="Times New Roman" w:eastAsia="Times New Roman" w:hAnsi="Times New Roman" w:cs="Times New Roman"/>
                <w:snapToGrid w:val="0"/>
                <w:kern w:val="0"/>
                <w:lang w:val="en-US" w:eastAsia="de-DE" w:bidi="en-US"/>
              </w:rPr>
              <w:t>)</w:t>
            </w:r>
          </w:p>
        </w:tc>
        <w:tc>
          <w:tcPr>
            <w:tcW w:w="2127" w:type="dxa"/>
          </w:tcPr>
          <w:p w14:paraId="0A6F2EAB"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lastRenderedPageBreak/>
              <w:t>40.45±3.73</w:t>
            </w:r>
          </w:p>
        </w:tc>
        <w:tc>
          <w:tcPr>
            <w:tcW w:w="1700" w:type="dxa"/>
          </w:tcPr>
          <w:p w14:paraId="11507096" w14:textId="60CC12C4" w:rsidR="00DE0343" w:rsidRPr="00CE50D8" w:rsidRDefault="00CB2C9D"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2.32</w:t>
            </w:r>
          </w:p>
        </w:tc>
      </w:tr>
      <w:tr w:rsidR="00761191" w:rsidRPr="00CE50D8" w14:paraId="63275209" w14:textId="55FBEA05"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E9D9B88"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(10i)</w:t>
            </w:r>
          </w:p>
        </w:tc>
        <w:tc>
          <w:tcPr>
            <w:tcW w:w="2126" w:type="dxa"/>
          </w:tcPr>
          <w:p w14:paraId="3F6496AF"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1</w:t>
            </w:r>
            <w:r w:rsidRPr="00CE50D8">
              <w:rPr>
                <w:rFonts w:ascii="Times New Roman" w:eastAsia="Times New Roman" w:hAnsi="Times New Roman" w:cs="Times New Roman"/>
                <w:snapToGrid w:val="0"/>
                <w:kern w:val="0"/>
                <w:lang w:val="en-US" w:eastAsia="de-DE" w:bidi="en-US"/>
              </w:rPr>
              <w:t xml:space="preserve"> = H</w:t>
            </w:r>
          </w:p>
          <w:p w14:paraId="10F58F18"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 xml:space="preserve"> = CH</w:t>
            </w:r>
            <w:r w:rsidRPr="00CE50D8">
              <w:rPr>
                <w:rFonts w:ascii="Times New Roman" w:eastAsia="Times New Roman" w:hAnsi="Times New Roman" w:cs="Times New Roman"/>
                <w:snapToGrid w:val="0"/>
                <w:kern w:val="0"/>
                <w:vertAlign w:val="subscript"/>
                <w:lang w:val="en-US" w:eastAsia="de-DE" w:bidi="en-US"/>
              </w:rPr>
              <w:t>2</w:t>
            </w:r>
            <w:r w:rsidRPr="00CE50D8">
              <w:rPr>
                <w:rFonts w:ascii="Times New Roman" w:eastAsia="Times New Roman" w:hAnsi="Times New Roman" w:cs="Times New Roman"/>
                <w:snapToGrid w:val="0"/>
                <w:kern w:val="0"/>
                <w:lang w:val="en-US" w:eastAsia="de-DE" w:bidi="en-US"/>
              </w:rPr>
              <w:t>OH</w:t>
            </w:r>
          </w:p>
          <w:p w14:paraId="377F4531"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3</w:t>
            </w:r>
            <w:r w:rsidRPr="00CE50D8">
              <w:rPr>
                <w:rFonts w:ascii="Times New Roman" w:eastAsia="Times New Roman" w:hAnsi="Times New Roman" w:cs="Times New Roman"/>
                <w:snapToGrid w:val="0"/>
                <w:kern w:val="0"/>
                <w:lang w:val="en-US" w:eastAsia="de-DE" w:bidi="en-US"/>
              </w:rPr>
              <w:t xml:space="preserve"> = CH</w:t>
            </w:r>
            <w:r w:rsidRPr="00CE50D8">
              <w:rPr>
                <w:rFonts w:ascii="Times New Roman" w:eastAsia="Times New Roman" w:hAnsi="Times New Roman" w:cs="Times New Roman"/>
                <w:snapToGrid w:val="0"/>
                <w:kern w:val="0"/>
                <w:vertAlign w:val="subscript"/>
                <w:lang w:val="en-US" w:eastAsia="de-DE" w:bidi="en-US"/>
              </w:rPr>
              <w:t>3</w:t>
            </w:r>
          </w:p>
          <w:p w14:paraId="288E287E"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R</w:t>
            </w:r>
            <w:r w:rsidRPr="00CE50D8">
              <w:rPr>
                <w:rFonts w:ascii="Times New Roman" w:eastAsia="Times New Roman" w:hAnsi="Times New Roman" w:cs="Times New Roman"/>
                <w:snapToGrid w:val="0"/>
                <w:kern w:val="0"/>
                <w:vertAlign w:val="subscript"/>
                <w:lang w:val="en-US" w:eastAsia="de-DE" w:bidi="en-US"/>
              </w:rPr>
              <w:t>4</w:t>
            </w:r>
            <w:r w:rsidRPr="00CE50D8">
              <w:rPr>
                <w:rFonts w:ascii="Times New Roman" w:eastAsia="Times New Roman" w:hAnsi="Times New Roman" w:cs="Times New Roman"/>
                <w:snapToGrid w:val="0"/>
                <w:kern w:val="0"/>
                <w:lang w:val="en-US" w:eastAsia="de-DE" w:bidi="en-US"/>
              </w:rPr>
              <w:t xml:space="preserve"> = H</w:t>
            </w:r>
          </w:p>
        </w:tc>
        <w:tc>
          <w:tcPr>
            <w:tcW w:w="2126" w:type="dxa"/>
          </w:tcPr>
          <w:p w14:paraId="55F3330E"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 xml:space="preserve">86.43±3.11 </w:t>
            </w:r>
          </w:p>
          <w:p w14:paraId="70B42C62" w14:textId="55AF970E" w:rsidR="00DE0343" w:rsidRPr="00CE50D8" w:rsidRDefault="00DE0343" w:rsidP="00744220">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w:t>
            </w:r>
            <w:bookmarkStart w:id="11" w:name="_Hlk54381474"/>
            <w:r w:rsidRPr="00CE50D8">
              <w:rPr>
                <w:szCs w:val="20"/>
              </w:rPr>
              <w:t>6.22</w:t>
            </w:r>
            <w:r w:rsidRPr="00CE50D8">
              <w:rPr>
                <w:rFonts w:cstheme="minorHAnsi"/>
                <w:szCs w:val="20"/>
              </w:rPr>
              <w:t>±</w:t>
            </w:r>
            <w:r w:rsidRPr="00CE50D8">
              <w:rPr>
                <w:szCs w:val="20"/>
              </w:rPr>
              <w:t>0.54</w:t>
            </w:r>
            <w:bookmarkEnd w:id="11"/>
            <w:r w:rsidRPr="00CE50D8">
              <w:rPr>
                <w:rFonts w:ascii="Times New Roman" w:eastAsia="Times New Roman" w:hAnsi="Times New Roman" w:cs="Times New Roman"/>
                <w:snapToGrid w:val="0"/>
                <w:kern w:val="0"/>
                <w:lang w:val="en-US" w:eastAsia="de-DE" w:bidi="en-US"/>
              </w:rPr>
              <w:t>)</w:t>
            </w:r>
          </w:p>
        </w:tc>
        <w:tc>
          <w:tcPr>
            <w:tcW w:w="2127" w:type="dxa"/>
          </w:tcPr>
          <w:p w14:paraId="4B1797CC"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31.81±0.71</w:t>
            </w:r>
          </w:p>
        </w:tc>
        <w:tc>
          <w:tcPr>
            <w:tcW w:w="1700" w:type="dxa"/>
          </w:tcPr>
          <w:p w14:paraId="3C4DB3F8" w14:textId="21E89FA6" w:rsidR="00DE0343" w:rsidRPr="00CE50D8" w:rsidRDefault="00CB2C9D"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2.71</w:t>
            </w:r>
          </w:p>
        </w:tc>
      </w:tr>
      <w:tr w:rsidR="00761191" w:rsidRPr="00CE50D8" w14:paraId="6FD8CD09" w14:textId="0BFE13B4" w:rsidTr="001F5B53">
        <w:tc>
          <w:tcPr>
            <w:cnfStyle w:val="001000000000" w:firstRow="0" w:lastRow="0" w:firstColumn="1" w:lastColumn="0" w:oddVBand="0" w:evenVBand="0" w:oddHBand="0" w:evenHBand="0" w:firstRowFirstColumn="0" w:firstRowLastColumn="0" w:lastRowFirstColumn="0" w:lastRowLastColumn="0"/>
            <w:tcW w:w="1413" w:type="dxa"/>
          </w:tcPr>
          <w:p w14:paraId="768316CE"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(11)</w:t>
            </w:r>
          </w:p>
        </w:tc>
        <w:tc>
          <w:tcPr>
            <w:tcW w:w="2126" w:type="dxa"/>
          </w:tcPr>
          <w:p w14:paraId="1E0EE07D" w14:textId="31D01CD2" w:rsidR="00DE0343" w:rsidRPr="00CE50D8" w:rsidRDefault="00CB2C9D" w:rsidP="004C47B2">
            <w:pPr>
              <w:widowControl/>
              <w:suppressAutoHyphens w:val="0"/>
              <w:kinsoku w:val="0"/>
              <w:overflowPunct w:val="0"/>
              <w:autoSpaceDE w:val="0"/>
              <w:autoSpaceDN w:val="0"/>
              <w:adjustRightInd w:val="0"/>
              <w:snapToGrid w:val="0"/>
              <w:spacing w:line="480" w:lineRule="auto"/>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US" w:eastAsia="de-DE" w:bidi="en-US"/>
              </w:rPr>
              <w:drawing>
                <wp:inline distT="0" distB="0" distL="0" distR="0" wp14:anchorId="6E30A835" wp14:editId="26D71CDC">
                  <wp:extent cx="1219200" cy="65075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4">
                            <a:extLst>
                              <a:ext uri="{28A0092B-C50C-407E-A947-70E740481C1C}">
                                <a14:useLocalDpi xmlns:a14="http://schemas.microsoft.com/office/drawing/2010/main" val="0"/>
                              </a:ext>
                            </a:extLst>
                          </a:blip>
                          <a:srcRect l="68597" r="3515" b="44444"/>
                          <a:stretch/>
                        </pic:blipFill>
                        <pic:spPr bwMode="auto">
                          <a:xfrm>
                            <a:off x="0" y="0"/>
                            <a:ext cx="1236009" cy="6597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126" w:type="dxa"/>
          </w:tcPr>
          <w:p w14:paraId="3BC6D46E" w14:textId="781E085F"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83.27±1.62</w:t>
            </w:r>
          </w:p>
          <w:p w14:paraId="55D06291" w14:textId="4B3C50E4" w:rsidR="00DE0343" w:rsidRPr="00CE50D8" w:rsidRDefault="00DE0343" w:rsidP="00744220">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w:t>
            </w:r>
            <w:r w:rsidRPr="00CE50D8">
              <w:rPr>
                <w:szCs w:val="20"/>
              </w:rPr>
              <w:t>51.17</w:t>
            </w:r>
            <w:r w:rsidRPr="00CE50D8">
              <w:rPr>
                <w:rFonts w:cstheme="minorHAnsi"/>
                <w:szCs w:val="20"/>
              </w:rPr>
              <w:t>±</w:t>
            </w:r>
            <w:r w:rsidRPr="00CE50D8">
              <w:rPr>
                <w:szCs w:val="20"/>
              </w:rPr>
              <w:t>0.54</w:t>
            </w:r>
            <w:r w:rsidRPr="00CE50D8">
              <w:rPr>
                <w:rFonts w:ascii="Times New Roman" w:eastAsia="Times New Roman" w:hAnsi="Times New Roman" w:cs="Times New Roman"/>
                <w:snapToGrid w:val="0"/>
                <w:kern w:val="0"/>
                <w:lang w:val="en-US" w:eastAsia="de-DE" w:bidi="en-US"/>
              </w:rPr>
              <w:t>)</w:t>
            </w:r>
          </w:p>
        </w:tc>
        <w:tc>
          <w:tcPr>
            <w:tcW w:w="2127" w:type="dxa"/>
          </w:tcPr>
          <w:p w14:paraId="36623004" w14:textId="77777777"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36.02±3.78</w:t>
            </w:r>
          </w:p>
        </w:tc>
        <w:tc>
          <w:tcPr>
            <w:tcW w:w="1700" w:type="dxa"/>
          </w:tcPr>
          <w:p w14:paraId="2D46955E" w14:textId="2C6CF6FB" w:rsidR="00DE0343" w:rsidRPr="00CE50D8" w:rsidRDefault="00CB2C9D" w:rsidP="003B4EF1">
            <w:pPr>
              <w:widowControl/>
              <w:suppressAutoHyphens w:val="0"/>
              <w:kinsoku w:val="0"/>
              <w:overflowPunct w:val="0"/>
              <w:autoSpaceDE w:val="0"/>
              <w:autoSpaceDN w:val="0"/>
              <w:adjustRightInd w:val="0"/>
              <w:snapToGrid w:val="0"/>
              <w:spacing w:line="480" w:lineRule="auto"/>
              <w:jc w:val="center"/>
              <w:outlineLvl w:val="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2.31</w:t>
            </w:r>
          </w:p>
        </w:tc>
      </w:tr>
      <w:tr w:rsidR="00761191" w:rsidRPr="00CE50D8" w14:paraId="573673AC" w14:textId="07DCFABD" w:rsidTr="001F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B3ECC53" w14:textId="77777777" w:rsidR="00DE0343" w:rsidRPr="00CE50D8" w:rsidRDefault="00DE0343" w:rsidP="004C47B2">
            <w:pPr>
              <w:widowControl/>
              <w:suppressAutoHyphens w:val="0"/>
              <w:kinsoku w:val="0"/>
              <w:overflowPunct w:val="0"/>
              <w:autoSpaceDE w:val="0"/>
              <w:autoSpaceDN w:val="0"/>
              <w:adjustRightInd w:val="0"/>
              <w:snapToGrid w:val="0"/>
              <w:spacing w:line="480" w:lineRule="auto"/>
              <w:outlineLvl w:val="1"/>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 xml:space="preserve">Galantamine HBr </w:t>
            </w:r>
          </w:p>
        </w:tc>
        <w:tc>
          <w:tcPr>
            <w:tcW w:w="2126" w:type="dxa"/>
          </w:tcPr>
          <w:p w14:paraId="6331884F" w14:textId="23956FC1" w:rsidR="00DE0343" w:rsidRPr="00CE50D8" w:rsidRDefault="00CB2C9D" w:rsidP="004C47B2">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noProof/>
                <w:snapToGrid w:val="0"/>
                <w:kern w:val="0"/>
                <w:lang w:val="en-US" w:eastAsia="de-DE" w:bidi="en-US"/>
              </w:rPr>
              <w:drawing>
                <wp:inline distT="0" distB="0" distL="0" distR="0" wp14:anchorId="2355D071" wp14:editId="02737D2A">
                  <wp:extent cx="841375" cy="7378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41375" cy="737870"/>
                          </a:xfrm>
                          <a:prstGeom prst="rect">
                            <a:avLst/>
                          </a:prstGeom>
                          <a:noFill/>
                        </pic:spPr>
                      </pic:pic>
                    </a:graphicData>
                  </a:graphic>
                </wp:inline>
              </w:drawing>
            </w:r>
          </w:p>
        </w:tc>
        <w:tc>
          <w:tcPr>
            <w:tcW w:w="2126" w:type="dxa"/>
          </w:tcPr>
          <w:p w14:paraId="7E4717C9" w14:textId="33342551" w:rsidR="00DE0343" w:rsidRPr="00CE50D8" w:rsidRDefault="00DE0343"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92.14±2.49</w:t>
            </w:r>
          </w:p>
          <w:p w14:paraId="0868791A" w14:textId="7C233CC8" w:rsidR="00DE0343" w:rsidRPr="00CE50D8" w:rsidRDefault="00DE0343" w:rsidP="00744220">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w:t>
            </w:r>
            <w:r w:rsidRPr="00CE50D8">
              <w:rPr>
                <w:rFonts w:ascii="Times New Roman" w:eastAsia="Times New Roman" w:hAnsi="Times New Roman" w:cs="Times New Roman"/>
                <w:snapToGrid w:val="0"/>
                <w:kern w:val="0"/>
                <w:lang w:val="en-IN" w:eastAsia="de-DE" w:bidi="en-US"/>
              </w:rPr>
              <w:t>2.52±0.15</w:t>
            </w:r>
            <w:r w:rsidRPr="00CE50D8">
              <w:rPr>
                <w:rFonts w:ascii="Times New Roman" w:eastAsia="Times New Roman" w:hAnsi="Times New Roman" w:cs="Times New Roman"/>
                <w:snapToGrid w:val="0"/>
                <w:kern w:val="0"/>
                <w:lang w:val="en-US" w:eastAsia="de-DE" w:bidi="en-US"/>
              </w:rPr>
              <w:t>)</w:t>
            </w:r>
          </w:p>
        </w:tc>
        <w:tc>
          <w:tcPr>
            <w:tcW w:w="2127" w:type="dxa"/>
          </w:tcPr>
          <w:p w14:paraId="1C28578B" w14:textId="77777777" w:rsidR="003A2761" w:rsidRPr="00CE50D8" w:rsidRDefault="00DE0343" w:rsidP="003A276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81.93±2.52</w:t>
            </w:r>
          </w:p>
          <w:p w14:paraId="697F6444" w14:textId="79B7D30B" w:rsidR="00DE0343" w:rsidRPr="00CE50D8" w:rsidRDefault="00DE0343" w:rsidP="003A2761">
            <w:pPr>
              <w:widowControl/>
              <w:suppressAutoHyphens w:val="0"/>
              <w:kinsoku w:val="0"/>
              <w:overflowPunct w:val="0"/>
              <w:autoSpaceDE w:val="0"/>
              <w:autoSpaceDN w:val="0"/>
              <w:adjustRightInd w:val="0"/>
              <w:snapToGrid w:val="0"/>
              <w:spacing w:line="480" w:lineRule="auto"/>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(IC</w:t>
            </w:r>
            <w:r w:rsidRPr="00CE50D8">
              <w:rPr>
                <w:rFonts w:ascii="Times New Roman" w:eastAsia="Times New Roman" w:hAnsi="Times New Roman" w:cs="Times New Roman"/>
                <w:snapToGrid w:val="0"/>
                <w:kern w:val="0"/>
                <w:vertAlign w:val="subscript"/>
                <w:lang w:val="en-US" w:eastAsia="de-DE" w:bidi="en-US"/>
              </w:rPr>
              <w:t>50</w:t>
            </w:r>
            <w:r w:rsidRPr="00CE50D8">
              <w:rPr>
                <w:rFonts w:ascii="Times New Roman" w:eastAsia="Times New Roman" w:hAnsi="Times New Roman" w:cs="Times New Roman"/>
                <w:snapToGrid w:val="0"/>
                <w:kern w:val="0"/>
                <w:lang w:val="en-US" w:eastAsia="de-DE" w:bidi="en-US"/>
              </w:rPr>
              <w:t>=</w:t>
            </w:r>
            <w:r w:rsidRPr="00CE50D8">
              <w:rPr>
                <w:szCs w:val="20"/>
              </w:rPr>
              <w:t>46.58</w:t>
            </w:r>
            <w:r w:rsidRPr="00CE50D8">
              <w:rPr>
                <w:rFonts w:cstheme="minorHAnsi"/>
                <w:szCs w:val="20"/>
              </w:rPr>
              <w:t>±</w:t>
            </w:r>
            <w:r w:rsidRPr="00CE50D8">
              <w:rPr>
                <w:szCs w:val="20"/>
              </w:rPr>
              <w:t>0.91</w:t>
            </w:r>
            <w:r w:rsidRPr="00CE50D8">
              <w:rPr>
                <w:rFonts w:ascii="Times New Roman" w:eastAsia="Times New Roman" w:hAnsi="Times New Roman" w:cs="Times New Roman"/>
                <w:snapToGrid w:val="0"/>
                <w:kern w:val="0"/>
                <w:lang w:val="en-US" w:eastAsia="de-DE" w:bidi="en-US"/>
              </w:rPr>
              <w:t>)</w:t>
            </w:r>
          </w:p>
        </w:tc>
        <w:tc>
          <w:tcPr>
            <w:tcW w:w="1700" w:type="dxa"/>
          </w:tcPr>
          <w:p w14:paraId="438BD1FE" w14:textId="1CD0F5F0" w:rsidR="00DE0343" w:rsidRPr="00CE50D8" w:rsidRDefault="00CB2C9D" w:rsidP="003B4EF1">
            <w:pPr>
              <w:widowControl/>
              <w:suppressAutoHyphens w:val="0"/>
              <w:kinsoku w:val="0"/>
              <w:overflowPunct w:val="0"/>
              <w:autoSpaceDE w:val="0"/>
              <w:autoSpaceDN w:val="0"/>
              <w:adjustRightInd w:val="0"/>
              <w:snapToGrid w:val="0"/>
              <w:spacing w:line="480" w:lineRule="auto"/>
              <w:jc w:val="center"/>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napToGrid w:val="0"/>
                <w:kern w:val="0"/>
                <w:lang w:val="en-US" w:eastAsia="de-DE" w:bidi="en-US"/>
              </w:rPr>
            </w:pPr>
            <w:r w:rsidRPr="00CE50D8">
              <w:rPr>
                <w:rFonts w:ascii="Times New Roman" w:eastAsia="Times New Roman" w:hAnsi="Times New Roman" w:cs="Times New Roman"/>
                <w:snapToGrid w:val="0"/>
                <w:kern w:val="0"/>
                <w:lang w:val="en-US" w:eastAsia="de-DE" w:bidi="en-US"/>
              </w:rPr>
              <w:t>1.12</w:t>
            </w:r>
          </w:p>
        </w:tc>
      </w:tr>
    </w:tbl>
    <w:p w14:paraId="165FB8F6" w14:textId="42057B5F" w:rsidR="00221BA9" w:rsidRPr="00CE50D8" w:rsidRDefault="001A0A0E">
      <w:pPr>
        <w:widowControl/>
        <w:spacing w:after="120" w:line="480" w:lineRule="auto"/>
        <w:ind w:left="1260" w:hanging="1260"/>
        <w:rPr>
          <w:rFonts w:ascii="Times New Roman" w:eastAsia="Times New Roman" w:hAnsi="Times New Roman" w:cs="Times New Roman"/>
        </w:rPr>
      </w:pPr>
      <w:r w:rsidRPr="00CE50D8">
        <w:rPr>
          <w:rFonts w:ascii="Times New Roman" w:eastAsia="Times New Roman" w:hAnsi="Times New Roman" w:cs="Times New Roman"/>
          <w:b/>
        </w:rPr>
        <w:t>Stereochemistry:</w:t>
      </w:r>
      <w:r w:rsidRPr="00CE50D8">
        <w:rPr>
          <w:rFonts w:ascii="Times New Roman" w:eastAsia="Times New Roman" w:hAnsi="Times New Roman" w:cs="Times New Roman"/>
        </w:rPr>
        <w:t xml:space="preserve"> Compounds 9a, 9b, 9c, 9d, 9e, 9f</w:t>
      </w:r>
      <w:r w:rsidR="005C3327" w:rsidRPr="00CE50D8">
        <w:rPr>
          <w:rFonts w:ascii="Times New Roman" w:eastAsia="Times New Roman" w:hAnsi="Times New Roman" w:cs="Times New Roman"/>
        </w:rPr>
        <w:t>,</w:t>
      </w:r>
      <w:r w:rsidRPr="00CE50D8">
        <w:rPr>
          <w:rFonts w:ascii="Times New Roman" w:eastAsia="Times New Roman" w:hAnsi="Times New Roman" w:cs="Times New Roman"/>
        </w:rPr>
        <w:t xml:space="preserve"> and 9k have the absolute configuration (S); compounds 9g, 9j, 9m</w:t>
      </w:r>
      <w:r w:rsidR="005C3327" w:rsidRPr="00CE50D8">
        <w:rPr>
          <w:rFonts w:ascii="Times New Roman" w:eastAsia="Times New Roman" w:hAnsi="Times New Roman" w:cs="Times New Roman"/>
        </w:rPr>
        <w:t>,</w:t>
      </w:r>
      <w:r w:rsidRPr="00CE50D8">
        <w:rPr>
          <w:rFonts w:ascii="Times New Roman" w:eastAsia="Times New Roman" w:hAnsi="Times New Roman" w:cs="Times New Roman"/>
        </w:rPr>
        <w:t xml:space="preserve"> and 9n are achiral and compounds 9h, 9i, 9l</w:t>
      </w:r>
      <w:r w:rsidR="005C3327" w:rsidRPr="00CE50D8">
        <w:rPr>
          <w:rFonts w:ascii="Times New Roman" w:eastAsia="Times New Roman" w:hAnsi="Times New Roman" w:cs="Times New Roman"/>
        </w:rPr>
        <w:t>,</w:t>
      </w:r>
      <w:r w:rsidRPr="00CE50D8">
        <w:rPr>
          <w:rFonts w:ascii="Times New Roman" w:eastAsia="Times New Roman" w:hAnsi="Times New Roman" w:cs="Times New Roman"/>
        </w:rPr>
        <w:t xml:space="preserve"> and 9o have the absolute configuration (R).</w:t>
      </w:r>
      <w:r w:rsidR="00774A83" w:rsidRPr="00CE50D8">
        <w:rPr>
          <w:rFonts w:ascii="Times New Roman" w:eastAsia="Times New Roman" w:hAnsi="Times New Roman" w:cs="Times New Roman"/>
        </w:rPr>
        <w:t xml:space="preserve"> </w:t>
      </w:r>
      <w:r w:rsidRPr="00CE50D8">
        <w:rPr>
          <w:rFonts w:ascii="Times New Roman" w:eastAsia="Times New Roman" w:hAnsi="Times New Roman" w:cs="Times New Roman"/>
        </w:rPr>
        <w:t>Compounds 10a, 10b</w:t>
      </w:r>
      <w:r w:rsidR="005C3327" w:rsidRPr="00CE50D8">
        <w:rPr>
          <w:rFonts w:ascii="Times New Roman" w:eastAsia="Times New Roman" w:hAnsi="Times New Roman" w:cs="Times New Roman"/>
        </w:rPr>
        <w:t>,</w:t>
      </w:r>
      <w:r w:rsidRPr="00CE50D8">
        <w:rPr>
          <w:rFonts w:ascii="Times New Roman" w:eastAsia="Times New Roman" w:hAnsi="Times New Roman" w:cs="Times New Roman"/>
        </w:rPr>
        <w:t xml:space="preserve"> and 10i have the absolute configuration (S); Compounds 10c, 10d</w:t>
      </w:r>
      <w:r w:rsidR="005C3327" w:rsidRPr="00CE50D8">
        <w:rPr>
          <w:rFonts w:ascii="Times New Roman" w:eastAsia="Times New Roman" w:hAnsi="Times New Roman" w:cs="Times New Roman"/>
        </w:rPr>
        <w:t>,</w:t>
      </w:r>
      <w:r w:rsidRPr="00CE50D8">
        <w:rPr>
          <w:rFonts w:ascii="Times New Roman" w:eastAsia="Times New Roman" w:hAnsi="Times New Roman" w:cs="Times New Roman"/>
        </w:rPr>
        <w:t xml:space="preserve"> and 10h are achiral and </w:t>
      </w:r>
      <w:r w:rsidR="00774A83" w:rsidRPr="00CE50D8">
        <w:rPr>
          <w:rFonts w:ascii="Times New Roman" w:eastAsia="Times New Roman" w:hAnsi="Times New Roman" w:cs="Times New Roman"/>
        </w:rPr>
        <w:t>c</w:t>
      </w:r>
      <w:r w:rsidRPr="00CE50D8">
        <w:rPr>
          <w:rFonts w:ascii="Times New Roman" w:eastAsia="Times New Roman" w:hAnsi="Times New Roman" w:cs="Times New Roman"/>
        </w:rPr>
        <w:t xml:space="preserve">ompounds 10e, 10f, 10g have the absolute configuration (R). Compound 11 has </w:t>
      </w:r>
      <w:r w:rsidR="005C3327" w:rsidRPr="00CE50D8">
        <w:rPr>
          <w:rFonts w:ascii="Times New Roman" w:eastAsia="Times New Roman" w:hAnsi="Times New Roman" w:cs="Times New Roman"/>
        </w:rPr>
        <w:t xml:space="preserve">an </w:t>
      </w:r>
      <w:r w:rsidRPr="00CE50D8">
        <w:rPr>
          <w:rFonts w:ascii="Times New Roman" w:eastAsia="Times New Roman" w:hAnsi="Times New Roman" w:cs="Times New Roman"/>
        </w:rPr>
        <w:t>absolute configuration (S).</w:t>
      </w:r>
    </w:p>
    <w:p w14:paraId="7147676B" w14:textId="77777777" w:rsidR="00221BA9" w:rsidRPr="00CE50D8" w:rsidRDefault="001A0A0E">
      <w:pPr>
        <w:widowControl/>
        <w:spacing w:after="120" w:line="480" w:lineRule="auto"/>
        <w:ind w:left="1260" w:hanging="1260"/>
        <w:rPr>
          <w:rFonts w:ascii="Times New Roman" w:eastAsia="Times New Roman" w:hAnsi="Times New Roman" w:cs="Times New Roman"/>
        </w:rPr>
      </w:pPr>
      <w:r w:rsidRPr="00CE50D8">
        <w:rPr>
          <w:rFonts w:ascii="Times New Roman" w:eastAsia="Times New Roman" w:hAnsi="Times New Roman" w:cs="Times New Roman"/>
        </w:rPr>
        <w:t>Absolute configuration at the stereocenter for each scaffold is shown below:</w:t>
      </w:r>
    </w:p>
    <w:p w14:paraId="5B575A99" w14:textId="1C52C527" w:rsidR="00221BA9" w:rsidRPr="00CE50D8" w:rsidRDefault="000C05C3">
      <w:pPr>
        <w:widowControl/>
        <w:spacing w:before="240" w:after="120" w:line="480" w:lineRule="auto"/>
        <w:jc w:val="both"/>
        <w:rPr>
          <w:rFonts w:ascii="Times New Roman" w:eastAsia="Times New Roman" w:hAnsi="Times New Roman" w:cs="Times New Roman"/>
        </w:rPr>
      </w:pPr>
      <w:r w:rsidRPr="00761191">
        <w:rPr>
          <w:rFonts w:ascii="Times New Roman" w:eastAsia="Times New Roman" w:hAnsi="Times New Roman" w:cs="Times New Roman"/>
          <w:b/>
          <w:noProof/>
        </w:rPr>
        <w:object w:dxaOrig="8835" w:dyaOrig="3165" w14:anchorId="5B9B4059">
          <v:shape id="_x0000_i1025" type="#_x0000_t75" alt="" style="width:424pt;height:133.35pt;mso-width-percent:0;mso-height-percent:0;mso-width-percent:0;mso-height-percent:0" o:ole="">
            <v:imagedata r:id="rId36" o:title=""/>
          </v:shape>
          <o:OLEObject Type="Embed" ProgID="ChemDraw.Document.6.0" ShapeID="_x0000_i1025" DrawAspect="Content" ObjectID="_1833369588" r:id="rId37"/>
        </w:object>
      </w:r>
    </w:p>
    <w:p w14:paraId="5062253D" w14:textId="70662CCA" w:rsidR="00774A83" w:rsidRPr="00CE50D8" w:rsidRDefault="00774A83" w:rsidP="00774A83">
      <w:pPr>
        <w:widowControl/>
        <w:spacing w:line="480" w:lineRule="auto"/>
        <w:jc w:val="both"/>
        <w:rPr>
          <w:rFonts w:ascii="Times New Roman" w:eastAsia="Times New Roman" w:hAnsi="Times New Roman" w:cs="Times New Roman"/>
        </w:rPr>
      </w:pPr>
      <w:bookmarkStart w:id="12" w:name="_Hlk54390314"/>
      <w:bookmarkStart w:id="13" w:name="_Hlk47457487"/>
      <w:r w:rsidRPr="00CE50D8">
        <w:rPr>
          <w:rFonts w:ascii="Times New Roman" w:eastAsia="Times New Roman" w:hAnsi="Times New Roman" w:cs="Times New Roman"/>
        </w:rPr>
        <w:lastRenderedPageBreak/>
        <w:t xml:space="preserve">We have further developed the QSAR model to understand the critical determinants of AChEI activity which can be used to design compounds with improved activity. Four QSAR models were selected to make a consensus model for structural interpretation (Table 3). </w:t>
      </w:r>
    </w:p>
    <w:p w14:paraId="0E112672" w14:textId="77777777" w:rsidR="00774A83" w:rsidRPr="00CE50D8" w:rsidRDefault="00774A83" w:rsidP="00774A83">
      <w:pPr>
        <w:widowControl/>
        <w:spacing w:line="480" w:lineRule="auto"/>
        <w:jc w:val="both"/>
        <w:rPr>
          <w:rFonts w:ascii="Times New Roman" w:eastAsia="Times New Roman" w:hAnsi="Times New Roman" w:cs="Times New Roman"/>
        </w:rPr>
      </w:pPr>
    </w:p>
    <w:p w14:paraId="603B79CA" w14:textId="6683839F" w:rsidR="00774A83" w:rsidRPr="00CE50D8" w:rsidRDefault="00774A83" w:rsidP="00774A83">
      <w:pPr>
        <w:widowControl/>
        <w:spacing w:line="480" w:lineRule="auto"/>
        <w:rPr>
          <w:rFonts w:ascii="Times New Roman" w:eastAsia="Times New Roman" w:hAnsi="Times New Roman" w:cs="Times New Roman"/>
        </w:rPr>
      </w:pPr>
      <w:bookmarkStart w:id="14" w:name="_Hlk54312126"/>
      <w:r w:rsidRPr="00CE50D8">
        <w:rPr>
          <w:rFonts w:ascii="Times New Roman" w:eastAsia="Times New Roman" w:hAnsi="Times New Roman" w:cs="Times New Roman"/>
          <w:b/>
          <w:bCs/>
          <w:i/>
          <w:iCs/>
        </w:rPr>
        <w:t>Table 3.</w:t>
      </w:r>
      <w:r w:rsidRPr="00CE50D8">
        <w:rPr>
          <w:rFonts w:ascii="Times New Roman" w:eastAsia="Times New Roman" w:hAnsi="Times New Roman" w:cs="Times New Roman"/>
        </w:rPr>
        <w:t xml:space="preserve"> Statistical parameters associated with the four selected QSAR models and the derived consensus model.</w:t>
      </w:r>
    </w:p>
    <w:tbl>
      <w:tblPr>
        <w:tblW w:w="8364" w:type="dxa"/>
        <w:jc w:val="center"/>
        <w:tblCellMar>
          <w:left w:w="70" w:type="dxa"/>
          <w:right w:w="70" w:type="dxa"/>
        </w:tblCellMar>
        <w:tblLook w:val="04A0" w:firstRow="1" w:lastRow="0" w:firstColumn="1" w:lastColumn="0" w:noHBand="0" w:noVBand="1"/>
      </w:tblPr>
      <w:tblGrid>
        <w:gridCol w:w="1216"/>
        <w:gridCol w:w="1153"/>
        <w:gridCol w:w="851"/>
        <w:gridCol w:w="850"/>
        <w:gridCol w:w="1416"/>
        <w:gridCol w:w="928"/>
        <w:gridCol w:w="992"/>
        <w:gridCol w:w="709"/>
        <w:gridCol w:w="851"/>
      </w:tblGrid>
      <w:tr w:rsidR="00774A83" w:rsidRPr="00CE50D8" w14:paraId="7CA925A0" w14:textId="77777777" w:rsidTr="00B82A32">
        <w:trPr>
          <w:trHeight w:val="300"/>
          <w:jc w:val="center"/>
        </w:trPr>
        <w:tc>
          <w:tcPr>
            <w:tcW w:w="1216" w:type="dxa"/>
            <w:tcBorders>
              <w:top w:val="nil"/>
              <w:left w:val="nil"/>
              <w:bottom w:val="nil"/>
              <w:right w:val="nil"/>
            </w:tcBorders>
            <w:noWrap/>
            <w:vAlign w:val="bottom"/>
            <w:hideMark/>
          </w:tcPr>
          <w:p w14:paraId="64BC120C" w14:textId="77777777" w:rsidR="00774A83" w:rsidRPr="00CE50D8" w:rsidRDefault="00774A83" w:rsidP="00B82A32">
            <w:pPr>
              <w:rPr>
                <w:rFonts w:ascii="Times New Roman" w:eastAsia="Times New Roman" w:hAnsi="Times New Roman" w:cs="Times New Roman"/>
                <w:lang w:val="en-US" w:eastAsia="es-ES"/>
              </w:rPr>
            </w:pPr>
          </w:p>
        </w:tc>
        <w:tc>
          <w:tcPr>
            <w:tcW w:w="627" w:type="dxa"/>
            <w:tcBorders>
              <w:top w:val="nil"/>
              <w:left w:val="nil"/>
              <w:bottom w:val="single" w:sz="4" w:space="0" w:color="auto"/>
              <w:right w:val="nil"/>
            </w:tcBorders>
            <w:noWrap/>
            <w:vAlign w:val="bottom"/>
            <w:hideMark/>
          </w:tcPr>
          <w:p w14:paraId="1E0D4422"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Descriptor no.</w:t>
            </w:r>
          </w:p>
        </w:tc>
        <w:tc>
          <w:tcPr>
            <w:tcW w:w="851" w:type="dxa"/>
            <w:tcBorders>
              <w:top w:val="nil"/>
              <w:left w:val="nil"/>
              <w:bottom w:val="single" w:sz="4" w:space="0" w:color="auto"/>
              <w:right w:val="nil"/>
            </w:tcBorders>
            <w:noWrap/>
            <w:vAlign w:val="bottom"/>
            <w:hideMark/>
          </w:tcPr>
          <w:p w14:paraId="7DFB83CC"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R</w:t>
            </w:r>
            <w:r w:rsidRPr="00CE50D8">
              <w:rPr>
                <w:rFonts w:ascii="Times New Roman" w:eastAsia="Times New Roman" w:hAnsi="Times New Roman" w:cs="Times New Roman"/>
                <w:color w:val="000000"/>
                <w:vertAlign w:val="superscript"/>
                <w:lang w:eastAsia="es-ES"/>
              </w:rPr>
              <w:t>2</w:t>
            </w:r>
          </w:p>
        </w:tc>
        <w:tc>
          <w:tcPr>
            <w:tcW w:w="850" w:type="dxa"/>
            <w:tcBorders>
              <w:top w:val="nil"/>
              <w:left w:val="nil"/>
              <w:bottom w:val="single" w:sz="4" w:space="0" w:color="auto"/>
              <w:right w:val="nil"/>
            </w:tcBorders>
            <w:noWrap/>
            <w:vAlign w:val="bottom"/>
            <w:hideMark/>
          </w:tcPr>
          <w:p w14:paraId="34FC12D6"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Q</w:t>
            </w:r>
            <w:r w:rsidRPr="00CE50D8">
              <w:rPr>
                <w:rFonts w:ascii="Times New Roman" w:eastAsia="Times New Roman" w:hAnsi="Times New Roman" w:cs="Times New Roman"/>
                <w:color w:val="000000"/>
                <w:vertAlign w:val="superscript"/>
                <w:lang w:eastAsia="es-ES"/>
              </w:rPr>
              <w:t>2</w:t>
            </w:r>
            <w:r w:rsidRPr="00CE50D8">
              <w:rPr>
                <w:rFonts w:ascii="Times New Roman" w:eastAsia="Times New Roman" w:hAnsi="Times New Roman" w:cs="Times New Roman"/>
                <w:color w:val="000000"/>
                <w:vertAlign w:val="subscript"/>
                <w:lang w:eastAsia="es-ES"/>
              </w:rPr>
              <w:t>LOO</w:t>
            </w:r>
          </w:p>
        </w:tc>
        <w:tc>
          <w:tcPr>
            <w:tcW w:w="1416" w:type="dxa"/>
            <w:tcBorders>
              <w:top w:val="nil"/>
              <w:left w:val="nil"/>
              <w:bottom w:val="single" w:sz="4" w:space="0" w:color="auto"/>
              <w:right w:val="nil"/>
            </w:tcBorders>
            <w:noWrap/>
            <w:vAlign w:val="bottom"/>
            <w:hideMark/>
          </w:tcPr>
          <w:p w14:paraId="456B5A9B"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Q</w:t>
            </w:r>
            <w:r w:rsidRPr="00CE50D8">
              <w:rPr>
                <w:rFonts w:ascii="Times New Roman" w:eastAsia="Times New Roman" w:hAnsi="Times New Roman" w:cs="Times New Roman"/>
                <w:color w:val="000000"/>
                <w:vertAlign w:val="superscript"/>
                <w:lang w:eastAsia="es-ES"/>
              </w:rPr>
              <w:t>2</w:t>
            </w:r>
            <w:r w:rsidRPr="00CE50D8">
              <w:rPr>
                <w:rFonts w:ascii="Times New Roman" w:eastAsia="Times New Roman" w:hAnsi="Times New Roman" w:cs="Times New Roman"/>
                <w:color w:val="000000"/>
                <w:vertAlign w:val="subscript"/>
                <w:lang w:eastAsia="es-ES"/>
              </w:rPr>
              <w:t>Yscr_mean</w:t>
            </w:r>
          </w:p>
        </w:tc>
        <w:tc>
          <w:tcPr>
            <w:tcW w:w="852" w:type="dxa"/>
            <w:tcBorders>
              <w:top w:val="nil"/>
              <w:left w:val="nil"/>
              <w:bottom w:val="single" w:sz="4" w:space="0" w:color="auto"/>
              <w:right w:val="nil"/>
            </w:tcBorders>
            <w:noWrap/>
            <w:vAlign w:val="bottom"/>
            <w:hideMark/>
          </w:tcPr>
          <w:p w14:paraId="427FD55C"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RMSEP</w:t>
            </w:r>
          </w:p>
        </w:tc>
        <w:tc>
          <w:tcPr>
            <w:tcW w:w="992" w:type="dxa"/>
            <w:tcBorders>
              <w:top w:val="nil"/>
              <w:left w:val="nil"/>
              <w:bottom w:val="single" w:sz="4" w:space="0" w:color="auto"/>
              <w:right w:val="nil"/>
            </w:tcBorders>
            <w:noWrap/>
            <w:vAlign w:val="center"/>
            <w:hideMark/>
          </w:tcPr>
          <w:p w14:paraId="3D28F739" w14:textId="77777777" w:rsidR="00774A83" w:rsidRPr="00CE50D8" w:rsidRDefault="00774A83" w:rsidP="00B82A32">
            <w:pPr>
              <w:jc w:val="center"/>
              <w:rPr>
                <w:rFonts w:ascii="Times New Roman" w:eastAsia="Times New Roman" w:hAnsi="Times New Roman" w:cs="Times New Roman"/>
                <w:color w:val="000000"/>
                <w:sz w:val="20"/>
                <w:szCs w:val="20"/>
                <w:lang w:eastAsia="es-ES"/>
              </w:rPr>
            </w:pPr>
            <w:r w:rsidRPr="00CE50D8">
              <w:rPr>
                <w:rFonts w:ascii="Times New Roman" w:eastAsia="Times New Roman" w:hAnsi="Times New Roman" w:cs="Times New Roman"/>
                <w:color w:val="000000"/>
                <w:sz w:val="20"/>
                <w:szCs w:val="20"/>
                <w:lang w:eastAsia="es-ES"/>
              </w:rPr>
              <w:t>Q</w:t>
            </w:r>
            <w:r w:rsidRPr="00CE50D8">
              <w:rPr>
                <w:rFonts w:ascii="Times New Roman" w:eastAsia="Times New Roman" w:hAnsi="Times New Roman" w:cs="Times New Roman"/>
                <w:color w:val="000000"/>
                <w:sz w:val="20"/>
                <w:szCs w:val="20"/>
                <w:vertAlign w:val="superscript"/>
                <w:lang w:eastAsia="es-ES"/>
              </w:rPr>
              <w:t>2</w:t>
            </w:r>
            <w:r w:rsidRPr="00CE50D8">
              <w:rPr>
                <w:rFonts w:ascii="Times New Roman" w:eastAsia="Times New Roman" w:hAnsi="Times New Roman" w:cs="Times New Roman"/>
                <w:color w:val="000000"/>
                <w:sz w:val="20"/>
                <w:szCs w:val="20"/>
                <w:vertAlign w:val="subscript"/>
                <w:lang w:eastAsia="es-ES"/>
              </w:rPr>
              <w:t>boot</w:t>
            </w:r>
          </w:p>
        </w:tc>
        <w:tc>
          <w:tcPr>
            <w:tcW w:w="709" w:type="dxa"/>
            <w:tcBorders>
              <w:top w:val="nil"/>
              <w:left w:val="nil"/>
              <w:bottom w:val="single" w:sz="4" w:space="0" w:color="auto"/>
              <w:right w:val="nil"/>
            </w:tcBorders>
            <w:noWrap/>
            <w:vAlign w:val="bottom"/>
            <w:hideMark/>
          </w:tcPr>
          <w:p w14:paraId="67A12683"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F</w:t>
            </w:r>
          </w:p>
        </w:tc>
        <w:tc>
          <w:tcPr>
            <w:tcW w:w="851" w:type="dxa"/>
            <w:tcBorders>
              <w:top w:val="nil"/>
              <w:left w:val="nil"/>
              <w:bottom w:val="single" w:sz="4" w:space="0" w:color="auto"/>
              <w:right w:val="nil"/>
            </w:tcBorders>
            <w:noWrap/>
            <w:vAlign w:val="bottom"/>
            <w:hideMark/>
          </w:tcPr>
          <w:p w14:paraId="2C4F6381"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s</w:t>
            </w:r>
          </w:p>
        </w:tc>
      </w:tr>
      <w:tr w:rsidR="00774A83" w:rsidRPr="00CE50D8" w14:paraId="55FE0979" w14:textId="77777777" w:rsidTr="00B82A32">
        <w:trPr>
          <w:trHeight w:val="300"/>
          <w:jc w:val="center"/>
        </w:trPr>
        <w:tc>
          <w:tcPr>
            <w:tcW w:w="1216" w:type="dxa"/>
            <w:tcBorders>
              <w:top w:val="nil"/>
              <w:left w:val="nil"/>
              <w:bottom w:val="nil"/>
              <w:right w:val="nil"/>
            </w:tcBorders>
            <w:noWrap/>
            <w:vAlign w:val="bottom"/>
            <w:hideMark/>
          </w:tcPr>
          <w:p w14:paraId="00155C32" w14:textId="77777777" w:rsidR="00774A83" w:rsidRPr="00CE50D8" w:rsidRDefault="00774A83" w:rsidP="00B82A32">
            <w:pP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QSAR</w:t>
            </w:r>
            <w:r w:rsidRPr="00CE50D8">
              <w:rPr>
                <w:rFonts w:ascii="Times New Roman" w:eastAsia="Times New Roman" w:hAnsi="Times New Roman" w:cs="Times New Roman"/>
                <w:color w:val="000000"/>
                <w:vertAlign w:val="subscript"/>
                <w:lang w:eastAsia="es-ES"/>
              </w:rPr>
              <w:t>1</w:t>
            </w:r>
          </w:p>
        </w:tc>
        <w:tc>
          <w:tcPr>
            <w:tcW w:w="627" w:type="dxa"/>
            <w:tcBorders>
              <w:top w:val="nil"/>
              <w:left w:val="nil"/>
              <w:bottom w:val="nil"/>
              <w:right w:val="nil"/>
            </w:tcBorders>
            <w:noWrap/>
            <w:vAlign w:val="bottom"/>
            <w:hideMark/>
          </w:tcPr>
          <w:p w14:paraId="4E7EA163"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2</w:t>
            </w:r>
          </w:p>
        </w:tc>
        <w:tc>
          <w:tcPr>
            <w:tcW w:w="851" w:type="dxa"/>
            <w:tcBorders>
              <w:top w:val="nil"/>
              <w:left w:val="nil"/>
              <w:bottom w:val="nil"/>
              <w:right w:val="nil"/>
            </w:tcBorders>
            <w:noWrap/>
            <w:vAlign w:val="bottom"/>
            <w:hideMark/>
          </w:tcPr>
          <w:p w14:paraId="6B0227C8"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0.823</w:t>
            </w:r>
          </w:p>
        </w:tc>
        <w:tc>
          <w:tcPr>
            <w:tcW w:w="850" w:type="dxa"/>
            <w:tcBorders>
              <w:top w:val="nil"/>
              <w:left w:val="nil"/>
              <w:bottom w:val="nil"/>
              <w:right w:val="nil"/>
            </w:tcBorders>
            <w:noWrap/>
            <w:vAlign w:val="bottom"/>
            <w:hideMark/>
          </w:tcPr>
          <w:p w14:paraId="4CBD22CF"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0.747</w:t>
            </w:r>
          </w:p>
        </w:tc>
        <w:tc>
          <w:tcPr>
            <w:tcW w:w="1416" w:type="dxa"/>
            <w:tcBorders>
              <w:top w:val="nil"/>
              <w:left w:val="nil"/>
              <w:bottom w:val="nil"/>
              <w:right w:val="nil"/>
            </w:tcBorders>
            <w:noWrap/>
            <w:vAlign w:val="bottom"/>
            <w:hideMark/>
          </w:tcPr>
          <w:p w14:paraId="0EED427C"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-0.666</w:t>
            </w:r>
          </w:p>
        </w:tc>
        <w:tc>
          <w:tcPr>
            <w:tcW w:w="852" w:type="dxa"/>
            <w:tcBorders>
              <w:top w:val="nil"/>
              <w:left w:val="nil"/>
              <w:bottom w:val="nil"/>
              <w:right w:val="nil"/>
            </w:tcBorders>
            <w:noWrap/>
            <w:vAlign w:val="bottom"/>
            <w:hideMark/>
          </w:tcPr>
          <w:p w14:paraId="3F1C3603"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0.308</w:t>
            </w:r>
          </w:p>
        </w:tc>
        <w:tc>
          <w:tcPr>
            <w:tcW w:w="992" w:type="dxa"/>
            <w:tcBorders>
              <w:top w:val="nil"/>
              <w:left w:val="nil"/>
              <w:bottom w:val="nil"/>
              <w:right w:val="nil"/>
            </w:tcBorders>
            <w:noWrap/>
            <w:vAlign w:val="bottom"/>
            <w:hideMark/>
          </w:tcPr>
          <w:p w14:paraId="3850D5F3"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0.658</w:t>
            </w:r>
          </w:p>
        </w:tc>
        <w:tc>
          <w:tcPr>
            <w:tcW w:w="709" w:type="dxa"/>
            <w:tcBorders>
              <w:top w:val="nil"/>
              <w:left w:val="nil"/>
              <w:bottom w:val="nil"/>
              <w:right w:val="nil"/>
            </w:tcBorders>
            <w:noWrap/>
            <w:vAlign w:val="bottom"/>
            <w:hideMark/>
          </w:tcPr>
          <w:p w14:paraId="102CA259"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20.92</w:t>
            </w:r>
          </w:p>
        </w:tc>
        <w:tc>
          <w:tcPr>
            <w:tcW w:w="851" w:type="dxa"/>
            <w:tcBorders>
              <w:top w:val="nil"/>
              <w:left w:val="nil"/>
              <w:bottom w:val="nil"/>
              <w:right w:val="nil"/>
            </w:tcBorders>
            <w:noWrap/>
            <w:vAlign w:val="bottom"/>
            <w:hideMark/>
          </w:tcPr>
          <w:p w14:paraId="1B5CE65C"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0.25</w:t>
            </w:r>
          </w:p>
        </w:tc>
      </w:tr>
      <w:tr w:rsidR="00774A83" w:rsidRPr="00CE50D8" w14:paraId="469D3087" w14:textId="77777777" w:rsidTr="00B82A32">
        <w:trPr>
          <w:trHeight w:val="300"/>
          <w:jc w:val="center"/>
        </w:trPr>
        <w:tc>
          <w:tcPr>
            <w:tcW w:w="1216" w:type="dxa"/>
            <w:tcBorders>
              <w:top w:val="nil"/>
              <w:left w:val="nil"/>
              <w:bottom w:val="nil"/>
              <w:right w:val="nil"/>
            </w:tcBorders>
            <w:noWrap/>
            <w:vAlign w:val="bottom"/>
            <w:hideMark/>
          </w:tcPr>
          <w:p w14:paraId="0DBE4DB0" w14:textId="77777777" w:rsidR="00774A83" w:rsidRPr="00CE50D8" w:rsidRDefault="00774A83" w:rsidP="00B82A32">
            <w:pP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QSAR</w:t>
            </w:r>
            <w:r w:rsidRPr="00CE50D8">
              <w:rPr>
                <w:rFonts w:ascii="Times New Roman" w:eastAsia="Times New Roman" w:hAnsi="Times New Roman" w:cs="Times New Roman"/>
                <w:color w:val="000000"/>
                <w:vertAlign w:val="subscript"/>
                <w:lang w:eastAsia="es-ES"/>
              </w:rPr>
              <w:t>2</w:t>
            </w:r>
          </w:p>
        </w:tc>
        <w:tc>
          <w:tcPr>
            <w:tcW w:w="627" w:type="dxa"/>
            <w:tcBorders>
              <w:top w:val="nil"/>
              <w:left w:val="nil"/>
              <w:bottom w:val="nil"/>
              <w:right w:val="nil"/>
            </w:tcBorders>
            <w:noWrap/>
            <w:vAlign w:val="bottom"/>
            <w:hideMark/>
          </w:tcPr>
          <w:p w14:paraId="58B70D89"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2</w:t>
            </w:r>
          </w:p>
        </w:tc>
        <w:tc>
          <w:tcPr>
            <w:tcW w:w="851" w:type="dxa"/>
            <w:tcBorders>
              <w:top w:val="nil"/>
              <w:left w:val="nil"/>
              <w:bottom w:val="nil"/>
              <w:right w:val="nil"/>
            </w:tcBorders>
            <w:noWrap/>
            <w:vAlign w:val="bottom"/>
            <w:hideMark/>
          </w:tcPr>
          <w:p w14:paraId="018F2E3E"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0.855</w:t>
            </w:r>
          </w:p>
        </w:tc>
        <w:tc>
          <w:tcPr>
            <w:tcW w:w="850" w:type="dxa"/>
            <w:tcBorders>
              <w:top w:val="nil"/>
              <w:left w:val="nil"/>
              <w:bottom w:val="nil"/>
              <w:right w:val="nil"/>
            </w:tcBorders>
            <w:noWrap/>
            <w:vAlign w:val="bottom"/>
            <w:hideMark/>
          </w:tcPr>
          <w:p w14:paraId="6CEDC275"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0.788</w:t>
            </w:r>
          </w:p>
        </w:tc>
        <w:tc>
          <w:tcPr>
            <w:tcW w:w="1416" w:type="dxa"/>
            <w:tcBorders>
              <w:top w:val="nil"/>
              <w:left w:val="nil"/>
              <w:bottom w:val="nil"/>
              <w:right w:val="nil"/>
            </w:tcBorders>
            <w:noWrap/>
            <w:vAlign w:val="bottom"/>
            <w:hideMark/>
          </w:tcPr>
          <w:p w14:paraId="7849FCB6"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-0.726</w:t>
            </w:r>
          </w:p>
        </w:tc>
        <w:tc>
          <w:tcPr>
            <w:tcW w:w="852" w:type="dxa"/>
            <w:tcBorders>
              <w:top w:val="nil"/>
              <w:left w:val="nil"/>
              <w:bottom w:val="nil"/>
              <w:right w:val="nil"/>
            </w:tcBorders>
            <w:noWrap/>
            <w:vAlign w:val="bottom"/>
            <w:hideMark/>
          </w:tcPr>
          <w:p w14:paraId="4970C163"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0.319</w:t>
            </w:r>
          </w:p>
        </w:tc>
        <w:tc>
          <w:tcPr>
            <w:tcW w:w="992" w:type="dxa"/>
            <w:tcBorders>
              <w:top w:val="nil"/>
              <w:left w:val="nil"/>
              <w:bottom w:val="nil"/>
              <w:right w:val="nil"/>
            </w:tcBorders>
            <w:noWrap/>
            <w:vAlign w:val="bottom"/>
            <w:hideMark/>
          </w:tcPr>
          <w:p w14:paraId="05B7C2C4"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0.773</w:t>
            </w:r>
          </w:p>
        </w:tc>
        <w:tc>
          <w:tcPr>
            <w:tcW w:w="709" w:type="dxa"/>
            <w:tcBorders>
              <w:top w:val="nil"/>
              <w:left w:val="nil"/>
              <w:bottom w:val="nil"/>
              <w:right w:val="nil"/>
            </w:tcBorders>
            <w:noWrap/>
            <w:vAlign w:val="bottom"/>
            <w:hideMark/>
          </w:tcPr>
          <w:p w14:paraId="75B79DD6"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26.51</w:t>
            </w:r>
          </w:p>
        </w:tc>
        <w:tc>
          <w:tcPr>
            <w:tcW w:w="851" w:type="dxa"/>
            <w:tcBorders>
              <w:top w:val="nil"/>
              <w:left w:val="nil"/>
              <w:bottom w:val="nil"/>
              <w:right w:val="nil"/>
            </w:tcBorders>
            <w:noWrap/>
            <w:vAlign w:val="bottom"/>
            <w:hideMark/>
          </w:tcPr>
          <w:p w14:paraId="202F0345"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0.227</w:t>
            </w:r>
          </w:p>
        </w:tc>
      </w:tr>
      <w:tr w:rsidR="00774A83" w:rsidRPr="00CE50D8" w14:paraId="6192873A" w14:textId="77777777" w:rsidTr="00B82A32">
        <w:trPr>
          <w:trHeight w:val="300"/>
          <w:jc w:val="center"/>
        </w:trPr>
        <w:tc>
          <w:tcPr>
            <w:tcW w:w="1216" w:type="dxa"/>
            <w:tcBorders>
              <w:top w:val="nil"/>
              <w:left w:val="nil"/>
              <w:bottom w:val="nil"/>
              <w:right w:val="nil"/>
            </w:tcBorders>
            <w:noWrap/>
            <w:vAlign w:val="bottom"/>
            <w:hideMark/>
          </w:tcPr>
          <w:p w14:paraId="175B894E" w14:textId="77777777" w:rsidR="00774A83" w:rsidRPr="00CE50D8" w:rsidRDefault="00774A83" w:rsidP="00B82A32">
            <w:pP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QSAR</w:t>
            </w:r>
            <w:r w:rsidRPr="00CE50D8">
              <w:rPr>
                <w:rFonts w:ascii="Times New Roman" w:eastAsia="Times New Roman" w:hAnsi="Times New Roman" w:cs="Times New Roman"/>
                <w:color w:val="000000"/>
                <w:vertAlign w:val="subscript"/>
                <w:lang w:eastAsia="es-ES"/>
              </w:rPr>
              <w:t>3</w:t>
            </w:r>
          </w:p>
        </w:tc>
        <w:tc>
          <w:tcPr>
            <w:tcW w:w="627" w:type="dxa"/>
            <w:tcBorders>
              <w:top w:val="nil"/>
              <w:left w:val="nil"/>
              <w:bottom w:val="nil"/>
              <w:right w:val="nil"/>
            </w:tcBorders>
            <w:noWrap/>
            <w:vAlign w:val="bottom"/>
            <w:hideMark/>
          </w:tcPr>
          <w:p w14:paraId="2DAF3C25"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2</w:t>
            </w:r>
          </w:p>
        </w:tc>
        <w:tc>
          <w:tcPr>
            <w:tcW w:w="851" w:type="dxa"/>
            <w:tcBorders>
              <w:top w:val="nil"/>
              <w:left w:val="nil"/>
              <w:bottom w:val="nil"/>
              <w:right w:val="nil"/>
            </w:tcBorders>
            <w:noWrap/>
            <w:vAlign w:val="bottom"/>
            <w:hideMark/>
          </w:tcPr>
          <w:p w14:paraId="36A323DF"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0.847</w:t>
            </w:r>
          </w:p>
        </w:tc>
        <w:tc>
          <w:tcPr>
            <w:tcW w:w="850" w:type="dxa"/>
            <w:tcBorders>
              <w:top w:val="nil"/>
              <w:left w:val="nil"/>
              <w:bottom w:val="nil"/>
              <w:right w:val="nil"/>
            </w:tcBorders>
            <w:noWrap/>
            <w:vAlign w:val="bottom"/>
            <w:hideMark/>
          </w:tcPr>
          <w:p w14:paraId="2BA3DFFB"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0.777</w:t>
            </w:r>
          </w:p>
        </w:tc>
        <w:tc>
          <w:tcPr>
            <w:tcW w:w="1416" w:type="dxa"/>
            <w:tcBorders>
              <w:top w:val="nil"/>
              <w:left w:val="nil"/>
              <w:bottom w:val="nil"/>
              <w:right w:val="nil"/>
            </w:tcBorders>
            <w:noWrap/>
            <w:vAlign w:val="bottom"/>
            <w:hideMark/>
          </w:tcPr>
          <w:p w14:paraId="48D45BFA"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-0.668</w:t>
            </w:r>
          </w:p>
        </w:tc>
        <w:tc>
          <w:tcPr>
            <w:tcW w:w="852" w:type="dxa"/>
            <w:tcBorders>
              <w:top w:val="nil"/>
              <w:left w:val="nil"/>
              <w:bottom w:val="nil"/>
              <w:right w:val="nil"/>
            </w:tcBorders>
            <w:noWrap/>
            <w:vAlign w:val="bottom"/>
            <w:hideMark/>
          </w:tcPr>
          <w:p w14:paraId="15D95DB7"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0.213</w:t>
            </w:r>
          </w:p>
        </w:tc>
        <w:tc>
          <w:tcPr>
            <w:tcW w:w="992" w:type="dxa"/>
            <w:tcBorders>
              <w:top w:val="nil"/>
              <w:left w:val="nil"/>
              <w:bottom w:val="nil"/>
              <w:right w:val="nil"/>
            </w:tcBorders>
            <w:noWrap/>
            <w:vAlign w:val="bottom"/>
            <w:hideMark/>
          </w:tcPr>
          <w:p w14:paraId="4EECEB6E"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0.776</w:t>
            </w:r>
          </w:p>
        </w:tc>
        <w:tc>
          <w:tcPr>
            <w:tcW w:w="709" w:type="dxa"/>
            <w:tcBorders>
              <w:top w:val="nil"/>
              <w:left w:val="nil"/>
              <w:bottom w:val="nil"/>
              <w:right w:val="nil"/>
            </w:tcBorders>
            <w:noWrap/>
            <w:vAlign w:val="bottom"/>
            <w:hideMark/>
          </w:tcPr>
          <w:p w14:paraId="7210AC68"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24.88</w:t>
            </w:r>
          </w:p>
        </w:tc>
        <w:tc>
          <w:tcPr>
            <w:tcW w:w="851" w:type="dxa"/>
            <w:tcBorders>
              <w:top w:val="nil"/>
              <w:left w:val="nil"/>
              <w:bottom w:val="nil"/>
              <w:right w:val="nil"/>
            </w:tcBorders>
            <w:noWrap/>
            <w:vAlign w:val="bottom"/>
            <w:hideMark/>
          </w:tcPr>
          <w:p w14:paraId="04B2FCA2"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0.233</w:t>
            </w:r>
          </w:p>
        </w:tc>
      </w:tr>
      <w:tr w:rsidR="00774A83" w:rsidRPr="00CE50D8" w14:paraId="1B864B84" w14:textId="77777777" w:rsidTr="00B82A32">
        <w:trPr>
          <w:trHeight w:val="300"/>
          <w:jc w:val="center"/>
        </w:trPr>
        <w:tc>
          <w:tcPr>
            <w:tcW w:w="1216" w:type="dxa"/>
            <w:tcBorders>
              <w:top w:val="nil"/>
              <w:left w:val="nil"/>
              <w:bottom w:val="single" w:sz="4" w:space="0" w:color="auto"/>
              <w:right w:val="nil"/>
            </w:tcBorders>
            <w:noWrap/>
            <w:vAlign w:val="bottom"/>
            <w:hideMark/>
          </w:tcPr>
          <w:p w14:paraId="4D5A94A3" w14:textId="77777777" w:rsidR="00774A83" w:rsidRPr="00CE50D8" w:rsidRDefault="00774A83" w:rsidP="00B82A32">
            <w:pP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QSAR</w:t>
            </w:r>
            <w:r w:rsidRPr="00CE50D8">
              <w:rPr>
                <w:rFonts w:ascii="Times New Roman" w:eastAsia="Times New Roman" w:hAnsi="Times New Roman" w:cs="Times New Roman"/>
                <w:color w:val="000000"/>
                <w:vertAlign w:val="subscript"/>
                <w:lang w:eastAsia="es-ES"/>
              </w:rPr>
              <w:t>4</w:t>
            </w:r>
          </w:p>
        </w:tc>
        <w:tc>
          <w:tcPr>
            <w:tcW w:w="627" w:type="dxa"/>
            <w:tcBorders>
              <w:top w:val="nil"/>
              <w:left w:val="nil"/>
              <w:bottom w:val="single" w:sz="4" w:space="0" w:color="auto"/>
              <w:right w:val="nil"/>
            </w:tcBorders>
            <w:noWrap/>
            <w:vAlign w:val="bottom"/>
            <w:hideMark/>
          </w:tcPr>
          <w:p w14:paraId="2704FF84"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2</w:t>
            </w:r>
          </w:p>
        </w:tc>
        <w:tc>
          <w:tcPr>
            <w:tcW w:w="851" w:type="dxa"/>
            <w:tcBorders>
              <w:top w:val="nil"/>
              <w:left w:val="nil"/>
              <w:bottom w:val="single" w:sz="4" w:space="0" w:color="auto"/>
              <w:right w:val="nil"/>
            </w:tcBorders>
            <w:noWrap/>
            <w:vAlign w:val="bottom"/>
            <w:hideMark/>
          </w:tcPr>
          <w:p w14:paraId="05CB3DAE"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0.854</w:t>
            </w:r>
          </w:p>
        </w:tc>
        <w:tc>
          <w:tcPr>
            <w:tcW w:w="850" w:type="dxa"/>
            <w:tcBorders>
              <w:top w:val="nil"/>
              <w:left w:val="nil"/>
              <w:bottom w:val="single" w:sz="4" w:space="0" w:color="auto"/>
              <w:right w:val="nil"/>
            </w:tcBorders>
            <w:noWrap/>
            <w:vAlign w:val="bottom"/>
            <w:hideMark/>
          </w:tcPr>
          <w:p w14:paraId="6109DDB4"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0.767</w:t>
            </w:r>
          </w:p>
        </w:tc>
        <w:tc>
          <w:tcPr>
            <w:tcW w:w="1416" w:type="dxa"/>
            <w:tcBorders>
              <w:top w:val="nil"/>
              <w:left w:val="nil"/>
              <w:bottom w:val="single" w:sz="4" w:space="0" w:color="auto"/>
              <w:right w:val="nil"/>
            </w:tcBorders>
            <w:noWrap/>
            <w:vAlign w:val="bottom"/>
            <w:hideMark/>
          </w:tcPr>
          <w:p w14:paraId="528B23A6"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-0.525</w:t>
            </w:r>
          </w:p>
        </w:tc>
        <w:tc>
          <w:tcPr>
            <w:tcW w:w="852" w:type="dxa"/>
            <w:tcBorders>
              <w:top w:val="nil"/>
              <w:left w:val="nil"/>
              <w:bottom w:val="single" w:sz="4" w:space="0" w:color="auto"/>
              <w:right w:val="nil"/>
            </w:tcBorders>
            <w:noWrap/>
            <w:vAlign w:val="bottom"/>
            <w:hideMark/>
          </w:tcPr>
          <w:p w14:paraId="3EE3684D"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0.309</w:t>
            </w:r>
          </w:p>
        </w:tc>
        <w:tc>
          <w:tcPr>
            <w:tcW w:w="992" w:type="dxa"/>
            <w:tcBorders>
              <w:top w:val="nil"/>
              <w:left w:val="nil"/>
              <w:bottom w:val="single" w:sz="4" w:space="0" w:color="auto"/>
              <w:right w:val="nil"/>
            </w:tcBorders>
            <w:noWrap/>
            <w:vAlign w:val="bottom"/>
            <w:hideMark/>
          </w:tcPr>
          <w:p w14:paraId="35253960"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0.758</w:t>
            </w:r>
          </w:p>
        </w:tc>
        <w:tc>
          <w:tcPr>
            <w:tcW w:w="709" w:type="dxa"/>
            <w:tcBorders>
              <w:top w:val="nil"/>
              <w:left w:val="nil"/>
              <w:bottom w:val="single" w:sz="4" w:space="0" w:color="auto"/>
              <w:right w:val="nil"/>
            </w:tcBorders>
            <w:noWrap/>
            <w:vAlign w:val="bottom"/>
            <w:hideMark/>
          </w:tcPr>
          <w:p w14:paraId="7016E4D3"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26.32</w:t>
            </w:r>
          </w:p>
        </w:tc>
        <w:tc>
          <w:tcPr>
            <w:tcW w:w="851" w:type="dxa"/>
            <w:tcBorders>
              <w:top w:val="nil"/>
              <w:left w:val="nil"/>
              <w:bottom w:val="single" w:sz="4" w:space="0" w:color="auto"/>
              <w:right w:val="nil"/>
            </w:tcBorders>
            <w:noWrap/>
            <w:vAlign w:val="bottom"/>
            <w:hideMark/>
          </w:tcPr>
          <w:p w14:paraId="39556166"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0.227</w:t>
            </w:r>
          </w:p>
        </w:tc>
      </w:tr>
      <w:tr w:rsidR="00774A83" w:rsidRPr="00CE50D8" w14:paraId="5E740388" w14:textId="77777777" w:rsidTr="00B82A32">
        <w:trPr>
          <w:trHeight w:val="300"/>
          <w:jc w:val="center"/>
        </w:trPr>
        <w:tc>
          <w:tcPr>
            <w:tcW w:w="1216" w:type="dxa"/>
            <w:tcBorders>
              <w:top w:val="nil"/>
              <w:left w:val="nil"/>
              <w:bottom w:val="nil"/>
              <w:right w:val="nil"/>
            </w:tcBorders>
            <w:noWrap/>
            <w:vAlign w:val="bottom"/>
            <w:hideMark/>
          </w:tcPr>
          <w:p w14:paraId="0A0BC90B" w14:textId="77777777" w:rsidR="00774A83" w:rsidRPr="00CE50D8" w:rsidRDefault="00774A83" w:rsidP="00B82A32">
            <w:pP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Consensus</w:t>
            </w:r>
          </w:p>
        </w:tc>
        <w:tc>
          <w:tcPr>
            <w:tcW w:w="627" w:type="dxa"/>
            <w:tcBorders>
              <w:top w:val="nil"/>
              <w:left w:val="nil"/>
              <w:bottom w:val="nil"/>
              <w:right w:val="nil"/>
            </w:tcBorders>
            <w:noWrap/>
            <w:vAlign w:val="bottom"/>
            <w:hideMark/>
          </w:tcPr>
          <w:p w14:paraId="012C666B"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w:t>
            </w:r>
          </w:p>
        </w:tc>
        <w:tc>
          <w:tcPr>
            <w:tcW w:w="851" w:type="dxa"/>
            <w:tcBorders>
              <w:top w:val="nil"/>
              <w:left w:val="nil"/>
              <w:bottom w:val="nil"/>
              <w:right w:val="nil"/>
            </w:tcBorders>
            <w:noWrap/>
            <w:vAlign w:val="bottom"/>
            <w:hideMark/>
          </w:tcPr>
          <w:p w14:paraId="1F61CBEC"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0.903</w:t>
            </w:r>
          </w:p>
        </w:tc>
        <w:tc>
          <w:tcPr>
            <w:tcW w:w="850" w:type="dxa"/>
            <w:tcBorders>
              <w:top w:val="nil"/>
              <w:left w:val="nil"/>
              <w:bottom w:val="nil"/>
              <w:right w:val="nil"/>
            </w:tcBorders>
            <w:noWrap/>
            <w:vAlign w:val="bottom"/>
            <w:hideMark/>
          </w:tcPr>
          <w:p w14:paraId="05D8E74B"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0.871</w:t>
            </w:r>
          </w:p>
        </w:tc>
        <w:tc>
          <w:tcPr>
            <w:tcW w:w="1416" w:type="dxa"/>
            <w:tcBorders>
              <w:top w:val="nil"/>
              <w:left w:val="nil"/>
              <w:bottom w:val="nil"/>
              <w:right w:val="nil"/>
            </w:tcBorders>
            <w:noWrap/>
            <w:vAlign w:val="bottom"/>
            <w:hideMark/>
          </w:tcPr>
          <w:p w14:paraId="6D2DDCF5"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-0.432</w:t>
            </w:r>
          </w:p>
        </w:tc>
        <w:tc>
          <w:tcPr>
            <w:tcW w:w="852" w:type="dxa"/>
            <w:tcBorders>
              <w:top w:val="nil"/>
              <w:left w:val="nil"/>
              <w:bottom w:val="nil"/>
              <w:right w:val="nil"/>
            </w:tcBorders>
            <w:noWrap/>
            <w:vAlign w:val="bottom"/>
            <w:hideMark/>
          </w:tcPr>
          <w:p w14:paraId="138287BF"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0.160</w:t>
            </w:r>
          </w:p>
        </w:tc>
        <w:tc>
          <w:tcPr>
            <w:tcW w:w="992" w:type="dxa"/>
            <w:tcBorders>
              <w:top w:val="nil"/>
              <w:left w:val="nil"/>
              <w:bottom w:val="nil"/>
              <w:right w:val="nil"/>
            </w:tcBorders>
            <w:noWrap/>
            <w:vAlign w:val="center"/>
            <w:hideMark/>
          </w:tcPr>
          <w:p w14:paraId="119E7970" w14:textId="77777777" w:rsidR="00774A83" w:rsidRPr="00CE50D8" w:rsidRDefault="00774A83" w:rsidP="00B82A32">
            <w:pPr>
              <w:jc w:val="center"/>
              <w:rPr>
                <w:rFonts w:ascii="Times New Roman" w:eastAsia="Times New Roman" w:hAnsi="Times New Roman" w:cs="Times New Roman"/>
                <w:color w:val="000000"/>
                <w:sz w:val="20"/>
                <w:szCs w:val="20"/>
                <w:lang w:eastAsia="es-ES"/>
              </w:rPr>
            </w:pPr>
            <w:r w:rsidRPr="00CE50D8">
              <w:rPr>
                <w:rFonts w:ascii="Times New Roman" w:eastAsia="Times New Roman" w:hAnsi="Times New Roman" w:cs="Times New Roman"/>
                <w:color w:val="000000"/>
                <w:sz w:val="20"/>
                <w:szCs w:val="20"/>
                <w:lang w:eastAsia="es-ES"/>
              </w:rPr>
              <w:t>0.755</w:t>
            </w:r>
          </w:p>
        </w:tc>
        <w:tc>
          <w:tcPr>
            <w:tcW w:w="709" w:type="dxa"/>
            <w:tcBorders>
              <w:top w:val="nil"/>
              <w:left w:val="nil"/>
              <w:bottom w:val="nil"/>
              <w:right w:val="nil"/>
            </w:tcBorders>
            <w:noWrap/>
            <w:vAlign w:val="center"/>
            <w:hideMark/>
          </w:tcPr>
          <w:p w14:paraId="07A5895E" w14:textId="77777777" w:rsidR="00774A83" w:rsidRPr="00CE50D8" w:rsidRDefault="00774A83" w:rsidP="00B82A32">
            <w:pPr>
              <w:jc w:val="center"/>
              <w:rPr>
                <w:rFonts w:ascii="Times New Roman" w:eastAsia="Times New Roman" w:hAnsi="Times New Roman" w:cs="Times New Roman"/>
                <w:color w:val="000000"/>
                <w:sz w:val="20"/>
                <w:szCs w:val="20"/>
                <w:lang w:eastAsia="es-ES"/>
              </w:rPr>
            </w:pPr>
            <w:r w:rsidRPr="00CE50D8">
              <w:rPr>
                <w:rFonts w:ascii="Times New Roman" w:eastAsia="Times New Roman" w:hAnsi="Times New Roman" w:cs="Times New Roman"/>
                <w:color w:val="000000"/>
                <w:sz w:val="20"/>
                <w:szCs w:val="20"/>
                <w:lang w:eastAsia="es-ES"/>
              </w:rPr>
              <w:t>-</w:t>
            </w:r>
          </w:p>
        </w:tc>
        <w:tc>
          <w:tcPr>
            <w:tcW w:w="851" w:type="dxa"/>
            <w:tcBorders>
              <w:top w:val="nil"/>
              <w:left w:val="nil"/>
              <w:bottom w:val="nil"/>
              <w:right w:val="nil"/>
            </w:tcBorders>
            <w:noWrap/>
            <w:vAlign w:val="bottom"/>
            <w:hideMark/>
          </w:tcPr>
          <w:p w14:paraId="7493A028" w14:textId="77777777" w:rsidR="00774A83" w:rsidRPr="00CE50D8" w:rsidRDefault="00774A83" w:rsidP="00B82A32">
            <w:pPr>
              <w:jc w:val="center"/>
              <w:rPr>
                <w:rFonts w:ascii="Times New Roman" w:eastAsia="Times New Roman" w:hAnsi="Times New Roman" w:cs="Times New Roman"/>
                <w:color w:val="000000"/>
                <w:lang w:eastAsia="es-ES"/>
              </w:rPr>
            </w:pPr>
            <w:r w:rsidRPr="00CE50D8">
              <w:rPr>
                <w:rFonts w:ascii="Times New Roman" w:eastAsia="Times New Roman" w:hAnsi="Times New Roman" w:cs="Times New Roman"/>
                <w:color w:val="000000"/>
                <w:lang w:eastAsia="es-ES"/>
              </w:rPr>
              <w:t>-</w:t>
            </w:r>
          </w:p>
        </w:tc>
      </w:tr>
      <w:bookmarkEnd w:id="12"/>
      <w:bookmarkEnd w:id="14"/>
    </w:tbl>
    <w:p w14:paraId="23B872EB" w14:textId="77777777" w:rsidR="00774A83" w:rsidRPr="00CE50D8" w:rsidRDefault="00774A83" w:rsidP="00774A83">
      <w:pPr>
        <w:widowControl/>
        <w:spacing w:line="480" w:lineRule="auto"/>
        <w:jc w:val="both"/>
        <w:rPr>
          <w:rFonts w:ascii="Times New Roman" w:eastAsia="Times New Roman" w:hAnsi="Times New Roman" w:cs="Times New Roman"/>
        </w:rPr>
      </w:pPr>
    </w:p>
    <w:p w14:paraId="761D542B" w14:textId="6601B32C" w:rsidR="00774A83" w:rsidRPr="00CE50D8" w:rsidRDefault="00774A83" w:rsidP="00774A83">
      <w:pPr>
        <w:widowControl/>
        <w:spacing w:line="480" w:lineRule="auto"/>
        <w:jc w:val="both"/>
        <w:rPr>
          <w:rFonts w:ascii="Times New Roman" w:eastAsia="Times New Roman" w:hAnsi="Times New Roman" w:cs="Times New Roman"/>
        </w:rPr>
      </w:pPr>
      <w:bookmarkStart w:id="15" w:name="_Hlk54313663"/>
      <w:r w:rsidRPr="00CE50D8">
        <w:rPr>
          <w:rFonts w:ascii="Times New Roman" w:eastAsia="Times New Roman" w:hAnsi="Times New Roman" w:cs="Times New Roman"/>
        </w:rPr>
        <w:t>The equation of the QSAR</w:t>
      </w:r>
      <w:r w:rsidRPr="00CE50D8">
        <w:rPr>
          <w:rFonts w:ascii="Times New Roman" w:eastAsia="Times New Roman" w:hAnsi="Times New Roman" w:cs="Times New Roman"/>
          <w:vertAlign w:val="subscript"/>
        </w:rPr>
        <w:t>1</w:t>
      </w:r>
      <w:r w:rsidRPr="00CE50D8">
        <w:rPr>
          <w:rFonts w:ascii="Times New Roman" w:eastAsia="Times New Roman" w:hAnsi="Times New Roman" w:cs="Times New Roman"/>
        </w:rPr>
        <w:t xml:space="preserve"> model with the statistical parameters is shown below:</w:t>
      </w:r>
    </w:p>
    <w:p w14:paraId="5E32FBAB" w14:textId="77777777" w:rsidR="00774A83" w:rsidRPr="00CE50D8" w:rsidRDefault="00774A83" w:rsidP="00774A83">
      <w:pPr>
        <w:widowControl/>
        <w:spacing w:line="480" w:lineRule="auto"/>
        <w:jc w:val="both"/>
        <w:rPr>
          <w:rFonts w:ascii="Times New Roman" w:eastAsia="Times New Roman" w:hAnsi="Times New Roman" w:cs="Times New Roman"/>
        </w:rPr>
      </w:pPr>
    </w:p>
    <w:p w14:paraId="64EDA74F" w14:textId="77777777" w:rsidR="00774A83" w:rsidRPr="00CE50D8" w:rsidRDefault="00774A83" w:rsidP="00774A83">
      <w:pPr>
        <w:widowControl/>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pIC</w:t>
      </w:r>
      <w:r w:rsidRPr="00CE50D8">
        <w:rPr>
          <w:rFonts w:ascii="Times New Roman" w:eastAsia="Times New Roman" w:hAnsi="Times New Roman" w:cs="Times New Roman"/>
          <w:vertAlign w:val="subscript"/>
        </w:rPr>
        <w:t>50</w:t>
      </w:r>
      <w:r w:rsidRPr="00CE50D8">
        <w:rPr>
          <w:rFonts w:ascii="Times New Roman" w:eastAsia="Times New Roman" w:hAnsi="Times New Roman" w:cs="Times New Roman"/>
        </w:rPr>
        <w:t xml:space="preserve">=0.815·h002-r007-r009+0.669·a009-h004-h007; </w:t>
      </w:r>
    </w:p>
    <w:p w14:paraId="0C3879E3" w14:textId="77777777" w:rsidR="00774A83" w:rsidRPr="00CE50D8" w:rsidRDefault="00774A83" w:rsidP="00774A83">
      <w:pPr>
        <w:widowControl/>
        <w:spacing w:line="480" w:lineRule="auto"/>
        <w:jc w:val="both"/>
      </w:pPr>
      <w:r w:rsidRPr="00CE50D8">
        <w:rPr>
          <w:rFonts w:ascii="Times New Roman" w:eastAsia="Times New Roman" w:hAnsi="Times New Roman" w:cs="Times New Roman"/>
        </w:rPr>
        <w:t>R</w:t>
      </w:r>
      <w:r w:rsidRPr="00CE50D8">
        <w:rPr>
          <w:rFonts w:ascii="Times New Roman" w:eastAsia="Times New Roman" w:hAnsi="Times New Roman" w:cs="Times New Roman"/>
          <w:vertAlign w:val="superscript"/>
        </w:rPr>
        <w:t>2</w:t>
      </w:r>
      <w:r w:rsidRPr="00CE50D8">
        <w:rPr>
          <w:rFonts w:ascii="Times New Roman" w:eastAsia="Times New Roman" w:hAnsi="Times New Roman" w:cs="Times New Roman"/>
        </w:rPr>
        <w:t>=0.823;  Q</w:t>
      </w:r>
      <w:r w:rsidRPr="00CE50D8">
        <w:rPr>
          <w:rFonts w:ascii="Times New Roman" w:eastAsia="Times New Roman" w:hAnsi="Times New Roman" w:cs="Times New Roman"/>
          <w:vertAlign w:val="superscript"/>
        </w:rPr>
        <w:t>2</w:t>
      </w:r>
      <w:r w:rsidRPr="00CE50D8">
        <w:rPr>
          <w:rFonts w:ascii="Times New Roman" w:eastAsia="Times New Roman" w:hAnsi="Times New Roman" w:cs="Times New Roman"/>
          <w:vertAlign w:val="subscript"/>
        </w:rPr>
        <w:t>LOO</w:t>
      </w:r>
      <w:r w:rsidRPr="00CE50D8">
        <w:rPr>
          <w:rFonts w:ascii="Times New Roman" w:eastAsia="Times New Roman" w:hAnsi="Times New Roman" w:cs="Times New Roman"/>
        </w:rPr>
        <w:t>=0.747; Q</w:t>
      </w:r>
      <w:r w:rsidRPr="00CE50D8">
        <w:rPr>
          <w:rFonts w:ascii="Times New Roman" w:eastAsia="Times New Roman" w:hAnsi="Times New Roman" w:cs="Times New Roman"/>
          <w:vertAlign w:val="superscript"/>
        </w:rPr>
        <w:t>2</w:t>
      </w:r>
      <w:r w:rsidRPr="00CE50D8">
        <w:rPr>
          <w:rFonts w:ascii="Times New Roman" w:eastAsia="Times New Roman" w:hAnsi="Times New Roman" w:cs="Times New Roman"/>
          <w:vertAlign w:val="subscript"/>
        </w:rPr>
        <w:t xml:space="preserve">Yscr-mean </w:t>
      </w:r>
      <w:r w:rsidRPr="00CE50D8">
        <w:rPr>
          <w:rFonts w:ascii="Times New Roman" w:eastAsia="Times New Roman" w:hAnsi="Times New Roman" w:cs="Times New Roman"/>
        </w:rPr>
        <w:t>=-0.666; RMSEP=0.308;  Q</w:t>
      </w:r>
      <w:r w:rsidRPr="00CE50D8">
        <w:rPr>
          <w:rFonts w:ascii="Times New Roman" w:eastAsia="Times New Roman" w:hAnsi="Times New Roman" w:cs="Times New Roman"/>
          <w:vertAlign w:val="superscript"/>
        </w:rPr>
        <w:t>2</w:t>
      </w:r>
      <w:r w:rsidRPr="00CE50D8">
        <w:rPr>
          <w:rFonts w:ascii="Times New Roman" w:eastAsia="Times New Roman" w:hAnsi="Times New Roman" w:cs="Times New Roman"/>
          <w:vertAlign w:val="subscript"/>
        </w:rPr>
        <w:t>boot</w:t>
      </w:r>
      <w:r w:rsidRPr="00CE50D8">
        <w:rPr>
          <w:rFonts w:ascii="Times New Roman" w:eastAsia="Times New Roman" w:hAnsi="Times New Roman" w:cs="Times New Roman"/>
        </w:rPr>
        <w:t>=0.658; F=20.92; s=0.25; Q</w:t>
      </w:r>
      <w:r w:rsidRPr="00CE50D8">
        <w:rPr>
          <w:rFonts w:ascii="Times New Roman" w:eastAsia="Times New Roman" w:hAnsi="Times New Roman" w:cs="Times New Roman"/>
          <w:vertAlign w:val="superscript"/>
        </w:rPr>
        <w:t>2</w:t>
      </w:r>
      <w:r w:rsidRPr="00CE50D8">
        <w:rPr>
          <w:rFonts w:ascii="Times New Roman" w:eastAsia="Times New Roman" w:hAnsi="Times New Roman" w:cs="Times New Roman"/>
          <w:vertAlign w:val="subscript"/>
        </w:rPr>
        <w:t>LMO</w:t>
      </w:r>
      <w:r w:rsidRPr="00CE50D8">
        <w:rPr>
          <w:rFonts w:ascii="Times New Roman" w:eastAsia="Times New Roman" w:hAnsi="Times New Roman" w:cs="Times New Roman"/>
        </w:rPr>
        <w:t>=0.783</w:t>
      </w:r>
    </w:p>
    <w:p w14:paraId="6DA8BA6D" w14:textId="77777777" w:rsidR="00774A83" w:rsidRPr="00CE50D8" w:rsidRDefault="00774A83" w:rsidP="00774A83">
      <w:pPr>
        <w:widowControl/>
        <w:spacing w:line="480" w:lineRule="auto"/>
        <w:jc w:val="both"/>
        <w:rPr>
          <w:rFonts w:ascii="Times New Roman" w:eastAsia="Times New Roman" w:hAnsi="Times New Roman" w:cs="Times New Roman"/>
        </w:rPr>
      </w:pPr>
    </w:p>
    <w:p w14:paraId="7D04D3F1" w14:textId="3CE32145" w:rsidR="00774A83" w:rsidRPr="00CE50D8" w:rsidRDefault="00774A83" w:rsidP="00774A83">
      <w:pPr>
        <w:widowControl/>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 xml:space="preserve">Where h002-r007-r009 and a009-h004-h007 represent the fuzzy pharmacophore triplets codes. The letters codify the type of a pharmacophoric atom (h: hydrophobic; r: aromatic, a: hydrogen bond acceptor, etc..) and the number is the topologic distance between them. </w:t>
      </w:r>
    </w:p>
    <w:p w14:paraId="3D43B791" w14:textId="709B35DE" w:rsidR="00774A83" w:rsidRPr="00CE50D8" w:rsidRDefault="00774A83" w:rsidP="00774A83">
      <w:pPr>
        <w:widowControl/>
        <w:spacing w:before="240" w:after="240" w:line="480" w:lineRule="auto"/>
        <w:ind w:firstLine="700"/>
        <w:jc w:val="both"/>
        <w:rPr>
          <w:rFonts w:ascii="Times New Roman" w:eastAsia="Times New Roman" w:hAnsi="Times New Roman" w:cs="Times New Roman"/>
        </w:rPr>
      </w:pPr>
      <w:r w:rsidRPr="00CE50D8">
        <w:rPr>
          <w:rFonts w:ascii="Times New Roman" w:eastAsia="Times New Roman" w:hAnsi="Times New Roman" w:cs="Times New Roman"/>
        </w:rPr>
        <w:t>The pharmacophoric contribution chart (Figu</w:t>
      </w:r>
      <w:sdt>
        <w:sdtPr>
          <w:tag w:val="goog_rdk_5"/>
          <w:id w:val="1960834715"/>
        </w:sdtPr>
        <w:sdtContent/>
      </w:sdt>
      <w:r w:rsidRPr="00CE50D8">
        <w:rPr>
          <w:rFonts w:ascii="Times New Roman" w:eastAsia="Times New Roman" w:hAnsi="Times New Roman" w:cs="Times New Roman"/>
        </w:rPr>
        <w:t>re</w:t>
      </w:r>
      <w:r w:rsidR="00380CD4" w:rsidRPr="00CE50D8">
        <w:rPr>
          <w:rFonts w:ascii="Times New Roman" w:eastAsia="Times New Roman" w:hAnsi="Times New Roman" w:cs="Times New Roman"/>
        </w:rPr>
        <w:t xml:space="preserve"> 4</w:t>
      </w:r>
      <w:r w:rsidRPr="00CE50D8">
        <w:rPr>
          <w:rFonts w:ascii="Times New Roman" w:eastAsia="Times New Roman" w:hAnsi="Times New Roman" w:cs="Times New Roman"/>
        </w:rPr>
        <w:t xml:space="preserve">) </w:t>
      </w:r>
      <w:r w:rsidR="00380CD4" w:rsidRPr="00CE50D8">
        <w:rPr>
          <w:rFonts w:ascii="Times New Roman" w:eastAsia="Times New Roman" w:hAnsi="Times New Roman" w:cs="Times New Roman"/>
        </w:rPr>
        <w:t>i</w:t>
      </w:r>
      <w:r w:rsidRPr="00CE50D8">
        <w:rPr>
          <w:rFonts w:ascii="Times New Roman" w:eastAsia="Times New Roman" w:hAnsi="Times New Roman" w:cs="Times New Roman"/>
        </w:rPr>
        <w:t>s derived from the model coefficients and the pharmacophoric properties included in the descriptors codes. This figure shows that hydrogen bond donor groups in the molecule affect negatively and hydrophobicity, aromaticity, and hydrogen bond acceptor groups have a positive influence on the affinity.</w:t>
      </w:r>
    </w:p>
    <w:bookmarkEnd w:id="15"/>
    <w:p w14:paraId="69E6089F" w14:textId="77777777" w:rsidR="00774A83" w:rsidRPr="00CE50D8" w:rsidRDefault="00774A83" w:rsidP="00774A83">
      <w:pPr>
        <w:widowControl/>
        <w:spacing w:before="240" w:after="240" w:line="480" w:lineRule="auto"/>
        <w:jc w:val="center"/>
        <w:rPr>
          <w:rFonts w:ascii="Times New Roman" w:eastAsia="Times New Roman" w:hAnsi="Times New Roman" w:cs="Times New Roman"/>
        </w:rPr>
      </w:pPr>
      <w:r w:rsidRPr="00CE50D8">
        <w:rPr>
          <w:rFonts w:ascii="Times New Roman" w:eastAsia="Times New Roman" w:hAnsi="Times New Roman" w:cs="Times New Roman"/>
          <w:noProof/>
        </w:rPr>
        <w:lastRenderedPageBreak/>
        <w:drawing>
          <wp:inline distT="114300" distB="114300" distL="114300" distR="114300" wp14:anchorId="74079DCB" wp14:editId="633D7433">
            <wp:extent cx="4619625" cy="2886075"/>
            <wp:effectExtent l="0" t="0" r="9525" b="9525"/>
            <wp:docPr id="5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8"/>
                    <a:srcRect/>
                    <a:stretch>
                      <a:fillRect/>
                    </a:stretch>
                  </pic:blipFill>
                  <pic:spPr>
                    <a:xfrm>
                      <a:off x="0" y="0"/>
                      <a:ext cx="4619625" cy="2886075"/>
                    </a:xfrm>
                    <a:prstGeom prst="rect">
                      <a:avLst/>
                    </a:prstGeom>
                    <a:ln/>
                  </pic:spPr>
                </pic:pic>
              </a:graphicData>
            </a:graphic>
          </wp:inline>
        </w:drawing>
      </w:r>
    </w:p>
    <w:p w14:paraId="38E59886" w14:textId="7DD30CF4" w:rsidR="00774A83" w:rsidRPr="00CE50D8" w:rsidRDefault="00774A83" w:rsidP="00774A83">
      <w:pPr>
        <w:widowControl/>
        <w:spacing w:before="120" w:after="240" w:line="480" w:lineRule="auto"/>
        <w:ind w:right="425"/>
        <w:jc w:val="center"/>
        <w:rPr>
          <w:rFonts w:ascii="Times New Roman" w:eastAsia="Times New Roman" w:hAnsi="Times New Roman" w:cs="Times New Roman"/>
        </w:rPr>
      </w:pPr>
      <w:r w:rsidRPr="00CE50D8">
        <w:rPr>
          <w:rFonts w:ascii="Times New Roman" w:eastAsia="Times New Roman" w:hAnsi="Times New Roman" w:cs="Times New Roman"/>
          <w:b/>
          <w:i/>
        </w:rPr>
        <w:t xml:space="preserve">Figure 4. </w:t>
      </w:r>
      <w:r w:rsidRPr="00CE50D8">
        <w:rPr>
          <w:rFonts w:ascii="Times New Roman" w:eastAsia="Times New Roman" w:hAnsi="Times New Roman" w:cs="Times New Roman"/>
        </w:rPr>
        <w:t>Pharmacophore contributions of the molecule to the activity.</w:t>
      </w:r>
    </w:p>
    <w:p w14:paraId="5B192192" w14:textId="36F5C768" w:rsidR="00774A83" w:rsidRPr="00CE50D8" w:rsidRDefault="00774A83" w:rsidP="00774A83">
      <w:pPr>
        <w:widowControl/>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 xml:space="preserve">Figure </w:t>
      </w:r>
      <w:r w:rsidR="00380CD4" w:rsidRPr="00CE50D8">
        <w:rPr>
          <w:rFonts w:ascii="Times New Roman" w:eastAsia="Times New Roman" w:hAnsi="Times New Roman" w:cs="Times New Roman"/>
        </w:rPr>
        <w:t>5</w:t>
      </w:r>
      <w:r w:rsidRPr="00CE50D8">
        <w:rPr>
          <w:rFonts w:ascii="Times New Roman" w:eastAsia="Times New Roman" w:hAnsi="Times New Roman" w:cs="Times New Roman"/>
        </w:rPr>
        <w:t xml:space="preserve"> shows the contributions imprinted on the most active chemical and one of the compounds with lower activity (Compound 9a, Table </w:t>
      </w:r>
      <w:r w:rsidR="00380CD4" w:rsidRPr="00CE50D8">
        <w:rPr>
          <w:rFonts w:ascii="Times New Roman" w:eastAsia="Times New Roman" w:hAnsi="Times New Roman" w:cs="Times New Roman"/>
        </w:rPr>
        <w:t>2</w:t>
      </w:r>
      <w:bookmarkStart w:id="16" w:name="_Hlk54394062"/>
      <w:r w:rsidRPr="00CE50D8">
        <w:rPr>
          <w:rFonts w:ascii="Times New Roman" w:eastAsia="Times New Roman" w:hAnsi="Times New Roman" w:cs="Times New Roman"/>
        </w:rPr>
        <w:t xml:space="preserve">). </w:t>
      </w:r>
      <w:bookmarkStart w:id="17" w:name="_Hlk54362130"/>
      <w:r w:rsidRPr="00CE50D8">
        <w:rPr>
          <w:rFonts w:ascii="Times New Roman" w:eastAsia="Times New Roman" w:hAnsi="Times New Roman" w:cs="Times New Roman"/>
        </w:rPr>
        <w:t>It seems that the low activity of the compound 9</w:t>
      </w:r>
      <w:r w:rsidR="00380CD4" w:rsidRPr="00CE50D8">
        <w:rPr>
          <w:rFonts w:ascii="Times New Roman" w:eastAsia="Times New Roman" w:hAnsi="Times New Roman" w:cs="Times New Roman"/>
        </w:rPr>
        <w:t>a</w:t>
      </w:r>
      <w:r w:rsidRPr="00CE50D8">
        <w:rPr>
          <w:rFonts w:ascii="Times New Roman" w:eastAsia="Times New Roman" w:hAnsi="Times New Roman" w:cs="Times New Roman"/>
        </w:rPr>
        <w:t xml:space="preserve"> is due to the presence of the hydrogen bond donor nitrogen in the pyrimidone ring (negative contribution) and the absence of the thiazoline ring (increase in aromatics/hydrophobic atoms)</w:t>
      </w:r>
      <w:bookmarkEnd w:id="16"/>
      <w:r w:rsidRPr="00CE50D8">
        <w:rPr>
          <w:rFonts w:ascii="Times New Roman" w:eastAsia="Times New Roman" w:hAnsi="Times New Roman" w:cs="Times New Roman"/>
        </w:rPr>
        <w:t>.</w:t>
      </w:r>
      <w:bookmarkEnd w:id="17"/>
      <w:r w:rsidRPr="00CE50D8">
        <w:rPr>
          <w:rFonts w:ascii="Times New Roman" w:eastAsia="Times New Roman" w:hAnsi="Times New Roman" w:cs="Times New Roman"/>
        </w:rPr>
        <w:t xml:space="preserve">  </w:t>
      </w:r>
    </w:p>
    <w:p w14:paraId="6E29D685" w14:textId="0DEFBE25" w:rsidR="00774A83" w:rsidRPr="00CE50D8" w:rsidRDefault="00774A83" w:rsidP="00774A83">
      <w:pPr>
        <w:widowControl/>
        <w:spacing w:line="480" w:lineRule="auto"/>
        <w:jc w:val="center"/>
        <w:rPr>
          <w:rFonts w:ascii="Times New Roman" w:eastAsia="Times New Roman" w:hAnsi="Times New Roman" w:cs="Times New Roman"/>
        </w:rPr>
      </w:pPr>
    </w:p>
    <w:p w14:paraId="5617AF84" w14:textId="77777777" w:rsidR="00774A83" w:rsidRPr="00CE50D8" w:rsidRDefault="00774A83" w:rsidP="00774A83">
      <w:pPr>
        <w:widowControl/>
        <w:spacing w:line="480" w:lineRule="auto"/>
        <w:jc w:val="center"/>
        <w:rPr>
          <w:rFonts w:ascii="Times New Roman" w:eastAsia="Times New Roman" w:hAnsi="Times New Roman" w:cs="Times New Roman"/>
        </w:rPr>
      </w:pPr>
      <w:r w:rsidRPr="00CE50D8">
        <w:rPr>
          <w:rFonts w:ascii="Times New Roman" w:eastAsia="Times New Roman" w:hAnsi="Times New Roman" w:cs="Times New Roman"/>
          <w:noProof/>
        </w:rPr>
        <w:drawing>
          <wp:inline distT="0" distB="0" distL="0" distR="0" wp14:anchorId="5F52A435" wp14:editId="0072749A">
            <wp:extent cx="5731510" cy="2118360"/>
            <wp:effectExtent l="0" t="0" r="254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39">
                      <a:extLst>
                        <a:ext uri="{28A0092B-C50C-407E-A947-70E740481C1C}">
                          <a14:useLocalDpi xmlns:a14="http://schemas.microsoft.com/office/drawing/2010/main" val="0"/>
                        </a:ext>
                      </a:extLst>
                    </a:blip>
                    <a:stretch>
                      <a:fillRect/>
                    </a:stretch>
                  </pic:blipFill>
                  <pic:spPr>
                    <a:xfrm>
                      <a:off x="0" y="0"/>
                      <a:ext cx="5731510" cy="2118360"/>
                    </a:xfrm>
                    <a:prstGeom prst="rect">
                      <a:avLst/>
                    </a:prstGeom>
                  </pic:spPr>
                </pic:pic>
              </a:graphicData>
            </a:graphic>
          </wp:inline>
        </w:drawing>
      </w:r>
    </w:p>
    <w:p w14:paraId="65B536E3" w14:textId="07924CD7" w:rsidR="00774A83" w:rsidRPr="00CE50D8" w:rsidRDefault="00774A83" w:rsidP="00774A83">
      <w:pPr>
        <w:widowControl/>
        <w:spacing w:line="480" w:lineRule="auto"/>
        <w:jc w:val="both"/>
        <w:rPr>
          <w:rFonts w:ascii="Times New Roman" w:eastAsia="Times New Roman" w:hAnsi="Times New Roman" w:cs="Times New Roman"/>
        </w:rPr>
      </w:pPr>
      <w:r w:rsidRPr="00CE50D8">
        <w:rPr>
          <w:rFonts w:ascii="Times New Roman" w:eastAsia="Times New Roman" w:hAnsi="Times New Roman" w:cs="Times New Roman"/>
          <w:b/>
          <w:i/>
        </w:rPr>
        <w:lastRenderedPageBreak/>
        <w:t xml:space="preserve">Figure </w:t>
      </w:r>
      <w:r w:rsidR="00380CD4" w:rsidRPr="00CE50D8">
        <w:rPr>
          <w:rFonts w:ascii="Times New Roman" w:eastAsia="Times New Roman" w:hAnsi="Times New Roman" w:cs="Times New Roman"/>
          <w:b/>
          <w:i/>
        </w:rPr>
        <w:t>5</w:t>
      </w:r>
      <w:r w:rsidRPr="00CE50D8">
        <w:rPr>
          <w:rFonts w:ascii="Times New Roman" w:eastAsia="Times New Roman" w:hAnsi="Times New Roman" w:cs="Times New Roman"/>
        </w:rPr>
        <w:t>. Structures of Compound 10i (pIC</w:t>
      </w:r>
      <w:r w:rsidRPr="00CE50D8">
        <w:rPr>
          <w:rFonts w:ascii="Times New Roman" w:eastAsia="Times New Roman" w:hAnsi="Times New Roman" w:cs="Times New Roman"/>
          <w:vertAlign w:val="subscript"/>
        </w:rPr>
        <w:t>50</w:t>
      </w:r>
      <w:r w:rsidRPr="00CE50D8">
        <w:rPr>
          <w:rFonts w:ascii="Times New Roman" w:eastAsia="Times New Roman" w:hAnsi="Times New Roman" w:cs="Times New Roman"/>
        </w:rPr>
        <w:t>=5.209) and Compound 9a (pIC</w:t>
      </w:r>
      <w:r w:rsidRPr="00CE50D8">
        <w:rPr>
          <w:rFonts w:ascii="Times New Roman" w:eastAsia="Times New Roman" w:hAnsi="Times New Roman" w:cs="Times New Roman"/>
          <w:vertAlign w:val="subscript"/>
        </w:rPr>
        <w:t>50</w:t>
      </w:r>
      <w:r w:rsidRPr="00CE50D8">
        <w:rPr>
          <w:rFonts w:ascii="Times New Roman" w:eastAsia="Times New Roman" w:hAnsi="Times New Roman" w:cs="Times New Roman"/>
        </w:rPr>
        <w:t>=3.521) with their atomic contribution to the activity. Green=positive contribution; Red=negative contribution.</w:t>
      </w:r>
    </w:p>
    <w:bookmarkEnd w:id="13"/>
    <w:p w14:paraId="413B7A9F" w14:textId="77777777" w:rsidR="00221BA9" w:rsidRPr="00CE50D8" w:rsidRDefault="00221BA9">
      <w:pPr>
        <w:widowControl/>
        <w:spacing w:before="240" w:after="120" w:line="480" w:lineRule="auto"/>
        <w:jc w:val="both"/>
        <w:rPr>
          <w:rFonts w:ascii="Times New Roman" w:eastAsia="Times New Roman" w:hAnsi="Times New Roman" w:cs="Times New Roman"/>
        </w:rPr>
      </w:pPr>
    </w:p>
    <w:p w14:paraId="21DBF3D7" w14:textId="124C5C17" w:rsidR="00221BA9" w:rsidRPr="00CE50D8" w:rsidRDefault="001A0A0E">
      <w:pPr>
        <w:widowControl/>
        <w:spacing w:before="240" w:after="120" w:line="480" w:lineRule="auto"/>
        <w:jc w:val="both"/>
        <w:rPr>
          <w:rFonts w:ascii="Times New Roman" w:eastAsia="Times New Roman" w:hAnsi="Times New Roman" w:cs="Times New Roman"/>
        </w:rPr>
      </w:pPr>
      <w:r w:rsidRPr="00CE50D8">
        <w:rPr>
          <w:rFonts w:ascii="Times New Roman" w:eastAsia="Times New Roman" w:hAnsi="Times New Roman" w:cs="Times New Roman"/>
          <w:b/>
        </w:rPr>
        <w:t xml:space="preserve">Conclusion </w:t>
      </w:r>
    </w:p>
    <w:p w14:paraId="0E263CED" w14:textId="2ABF3A8D" w:rsidR="00221BA9" w:rsidRPr="00CE50D8" w:rsidRDefault="001A0A0E">
      <w:pPr>
        <w:spacing w:line="480" w:lineRule="auto"/>
        <w:jc w:val="both"/>
        <w:rPr>
          <w:rFonts w:ascii="Times New Roman" w:eastAsia="Times New Roman" w:hAnsi="Times New Roman" w:cs="Times New Roman"/>
        </w:rPr>
      </w:pPr>
      <w:bookmarkStart w:id="18" w:name="_heading=h.3znysh7" w:colFirst="0" w:colLast="0"/>
      <w:bookmarkEnd w:id="18"/>
      <w:r w:rsidRPr="00CE50D8">
        <w:rPr>
          <w:rFonts w:ascii="Times New Roman" w:eastAsia="Times New Roman" w:hAnsi="Times New Roman" w:cs="Times New Roman"/>
        </w:rPr>
        <w:t xml:space="preserve">The cholinergic system plays a crucial role in </w:t>
      </w:r>
      <w:r w:rsidR="005C3327"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proper functioning of memory, cognition, and behavior [</w:t>
      </w:r>
      <w:hyperlink w:anchor="_heading=h.1pxezwc">
        <w:r w:rsidRPr="00CE50D8">
          <w:rPr>
            <w:rFonts w:ascii="Times New Roman" w:eastAsia="Times New Roman" w:hAnsi="Times New Roman" w:cs="Times New Roman"/>
          </w:rPr>
          <w:t>25</w:t>
        </w:r>
      </w:hyperlink>
      <w:r w:rsidRPr="00CE50D8">
        <w:rPr>
          <w:rFonts w:ascii="Times New Roman" w:eastAsia="Times New Roman" w:hAnsi="Times New Roman" w:cs="Times New Roman"/>
        </w:rPr>
        <w:t xml:space="preserve">]. In Alzheimer’s disease (AD) the cholinergic neurotransmission is severely hampered </w:t>
      </w:r>
      <w:r w:rsidRPr="00CE50D8">
        <w:rPr>
          <w:rFonts w:ascii="Times New Roman" w:eastAsia="Times New Roman" w:hAnsi="Times New Roman" w:cs="Times New Roman"/>
          <w:b/>
        </w:rPr>
        <w:t>[</w:t>
      </w:r>
      <w:hyperlink w:anchor="_heading=h.3j2qqm3">
        <w:r w:rsidRPr="00CE50D8">
          <w:rPr>
            <w:rFonts w:ascii="Times New Roman" w:eastAsia="Times New Roman" w:hAnsi="Times New Roman" w:cs="Times New Roman"/>
            <w:b/>
          </w:rPr>
          <w:t>16</w:t>
        </w:r>
      </w:hyperlink>
      <w:r w:rsidRPr="00CE50D8">
        <w:rPr>
          <w:rFonts w:ascii="Times New Roman" w:eastAsia="Times New Roman" w:hAnsi="Times New Roman" w:cs="Times New Roman"/>
          <w:b/>
        </w:rPr>
        <w:t xml:space="preserve">, </w:t>
      </w:r>
      <w:hyperlink w:anchor="_heading=h.1ci93xb">
        <w:r w:rsidRPr="00CE50D8">
          <w:rPr>
            <w:rFonts w:ascii="Times New Roman" w:eastAsia="Times New Roman" w:hAnsi="Times New Roman" w:cs="Times New Roman"/>
            <w:b/>
          </w:rPr>
          <w:t>20</w:t>
        </w:r>
      </w:hyperlink>
      <w:r w:rsidRPr="00CE50D8">
        <w:rPr>
          <w:rFonts w:ascii="Times New Roman" w:eastAsia="Times New Roman" w:hAnsi="Times New Roman" w:cs="Times New Roman"/>
          <w:b/>
        </w:rPr>
        <w:t xml:space="preserve">, </w:t>
      </w:r>
      <w:hyperlink w:anchor="_heading=h.3as4poj">
        <w:r w:rsidRPr="00CE50D8">
          <w:rPr>
            <w:rFonts w:ascii="Times New Roman" w:eastAsia="Times New Roman" w:hAnsi="Times New Roman" w:cs="Times New Roman"/>
            <w:b/>
          </w:rPr>
          <w:t>24</w:t>
        </w:r>
      </w:hyperlink>
      <w:r w:rsidRPr="00CE50D8">
        <w:rPr>
          <w:rFonts w:ascii="Times New Roman" w:eastAsia="Times New Roman" w:hAnsi="Times New Roman" w:cs="Times New Roman"/>
          <w:b/>
        </w:rPr>
        <w:t xml:space="preserve">, </w:t>
      </w:r>
      <w:hyperlink w:anchor="_heading=h.1x0gk37">
        <w:r w:rsidRPr="00CE50D8">
          <w:rPr>
            <w:rFonts w:ascii="Times New Roman" w:eastAsia="Times New Roman" w:hAnsi="Times New Roman" w:cs="Times New Roman"/>
            <w:b/>
          </w:rPr>
          <w:t>7</w:t>
        </w:r>
      </w:hyperlink>
      <w:r w:rsidRPr="00CE50D8">
        <w:rPr>
          <w:rFonts w:ascii="Times New Roman" w:eastAsia="Times New Roman" w:hAnsi="Times New Roman" w:cs="Times New Roman"/>
          <w:b/>
        </w:rPr>
        <w:t>3]</w:t>
      </w:r>
      <w:r w:rsidRPr="00CE50D8">
        <w:rPr>
          <w:rFonts w:ascii="Times New Roman" w:eastAsia="Times New Roman" w:hAnsi="Times New Roman" w:cs="Times New Roman"/>
        </w:rPr>
        <w:t xml:space="preserve">. Acetylcholine is a neurotransmitter that plays an integral part in the cholinergic system. Acetylcholinesterase (AChE) degrades acetylcholine to generate choline and acetate. Therefore, AChE inhibitor designing is a topic of huge research interest </w:t>
      </w:r>
      <w:r w:rsidRPr="00CE50D8">
        <w:rPr>
          <w:rFonts w:ascii="Times New Roman" w:eastAsia="Times New Roman" w:hAnsi="Times New Roman" w:cs="Times New Roman"/>
          <w:b/>
        </w:rPr>
        <w:t>[</w:t>
      </w:r>
      <w:hyperlink w:anchor="_heading=h.23ckvvd">
        <w:r w:rsidRPr="00CE50D8">
          <w:rPr>
            <w:rFonts w:ascii="Times New Roman" w:eastAsia="Times New Roman" w:hAnsi="Times New Roman" w:cs="Times New Roman"/>
            <w:b/>
          </w:rPr>
          <w:t>30-33</w:t>
        </w:r>
      </w:hyperlink>
      <w:r w:rsidRPr="00CE50D8">
        <w:rPr>
          <w:rFonts w:ascii="Times New Roman" w:eastAsia="Times New Roman" w:hAnsi="Times New Roman" w:cs="Times New Roman"/>
          <w:b/>
        </w:rPr>
        <w:t xml:space="preserve">, </w:t>
      </w:r>
      <w:hyperlink w:anchor="_heading=h.2u6wntf">
        <w:r w:rsidRPr="00CE50D8">
          <w:rPr>
            <w:rFonts w:ascii="Times New Roman" w:eastAsia="Times New Roman" w:hAnsi="Times New Roman" w:cs="Times New Roman"/>
            <w:b/>
          </w:rPr>
          <w:t>40</w:t>
        </w:r>
      </w:hyperlink>
      <w:r w:rsidRPr="00CE50D8">
        <w:rPr>
          <w:rFonts w:ascii="Times New Roman" w:eastAsia="Times New Roman" w:hAnsi="Times New Roman" w:cs="Times New Roman"/>
          <w:b/>
        </w:rPr>
        <w:t xml:space="preserve">, </w:t>
      </w:r>
      <w:hyperlink w:anchor="_heading=h.28h4qwu">
        <w:r w:rsidRPr="00CE50D8">
          <w:rPr>
            <w:rFonts w:ascii="Times New Roman" w:eastAsia="Times New Roman" w:hAnsi="Times New Roman" w:cs="Times New Roman"/>
            <w:b/>
          </w:rPr>
          <w:t>43</w:t>
        </w:r>
      </w:hyperlink>
      <w:r w:rsidRPr="00CE50D8">
        <w:rPr>
          <w:rFonts w:ascii="Times New Roman" w:eastAsia="Times New Roman" w:hAnsi="Times New Roman" w:cs="Times New Roman"/>
          <w:b/>
        </w:rPr>
        <w:t xml:space="preserve">, </w:t>
      </w:r>
      <w:hyperlink w:anchor="_heading=h.4h042r0">
        <w:r w:rsidRPr="00CE50D8">
          <w:rPr>
            <w:rFonts w:ascii="Times New Roman" w:eastAsia="Times New Roman" w:hAnsi="Times New Roman" w:cs="Times New Roman"/>
            <w:b/>
          </w:rPr>
          <w:t>7</w:t>
        </w:r>
      </w:hyperlink>
      <w:r w:rsidRPr="00CE50D8">
        <w:rPr>
          <w:rFonts w:ascii="Times New Roman" w:eastAsia="Times New Roman" w:hAnsi="Times New Roman" w:cs="Times New Roman"/>
          <w:b/>
        </w:rPr>
        <w:t xml:space="preserve">4, </w:t>
      </w:r>
      <w:hyperlink w:anchor="_heading=h.2w5ecyt">
        <w:r w:rsidRPr="00CE50D8">
          <w:rPr>
            <w:rFonts w:ascii="Times New Roman" w:eastAsia="Times New Roman" w:hAnsi="Times New Roman" w:cs="Times New Roman"/>
            <w:b/>
          </w:rPr>
          <w:t>7</w:t>
        </w:r>
      </w:hyperlink>
      <w:r w:rsidRPr="00CE50D8">
        <w:rPr>
          <w:rFonts w:ascii="Times New Roman" w:eastAsia="Times New Roman" w:hAnsi="Times New Roman" w:cs="Times New Roman"/>
          <w:b/>
        </w:rPr>
        <w:t>5]</w:t>
      </w:r>
      <w:r w:rsidRPr="00CE50D8">
        <w:rPr>
          <w:rFonts w:ascii="Times New Roman" w:eastAsia="Times New Roman" w:hAnsi="Times New Roman" w:cs="Times New Roman"/>
        </w:rPr>
        <w:t>.  In fact, most of the currently FDA approved drugs for moderate to severe AD are AChE inhibitors (AChEIs), however</w:t>
      </w:r>
      <w:r w:rsidR="005C3327" w:rsidRPr="00CE50D8">
        <w:rPr>
          <w:rFonts w:ascii="Times New Roman" w:eastAsia="Times New Roman" w:hAnsi="Times New Roman" w:cs="Times New Roman"/>
        </w:rPr>
        <w:t>,</w:t>
      </w:r>
      <w:r w:rsidRPr="00CE50D8">
        <w:rPr>
          <w:rFonts w:ascii="Times New Roman" w:eastAsia="Times New Roman" w:hAnsi="Times New Roman" w:cs="Times New Roman"/>
        </w:rPr>
        <w:t xml:space="preserve"> these drugs are associated with moderate to severe side effects. Therefore, </w:t>
      </w:r>
      <w:r w:rsidR="005C3327"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 xml:space="preserve">identification of novel AChE inhibitory scaffolds is an active area of research. Several synthetic and natural compounds have been identified that show inhibition of AChE </w:t>
      </w:r>
      <w:r w:rsidRPr="00CE50D8">
        <w:rPr>
          <w:rFonts w:ascii="Times New Roman" w:eastAsia="Times New Roman" w:hAnsi="Times New Roman" w:cs="Times New Roman"/>
          <w:i/>
        </w:rPr>
        <w:t xml:space="preserve">in vitro </w:t>
      </w:r>
      <w:r w:rsidRPr="00CE50D8">
        <w:rPr>
          <w:rFonts w:ascii="Times New Roman" w:eastAsia="Times New Roman" w:hAnsi="Times New Roman" w:cs="Times New Roman"/>
          <w:b/>
        </w:rPr>
        <w:t>[</w:t>
      </w:r>
      <w:hyperlink w:anchor="_heading=h.23ckvvd">
        <w:r w:rsidRPr="00CE50D8">
          <w:rPr>
            <w:rFonts w:ascii="Times New Roman" w:eastAsia="Times New Roman" w:hAnsi="Times New Roman" w:cs="Times New Roman"/>
            <w:b/>
          </w:rPr>
          <w:t>30</w:t>
        </w:r>
      </w:hyperlink>
      <w:r w:rsidRPr="00CE50D8">
        <w:rPr>
          <w:rFonts w:ascii="Times New Roman" w:eastAsia="Times New Roman" w:hAnsi="Times New Roman" w:cs="Times New Roman"/>
          <w:b/>
        </w:rPr>
        <w:t xml:space="preserve">, </w:t>
      </w:r>
      <w:hyperlink w:anchor="_heading=h.ihv636">
        <w:r w:rsidRPr="00CE50D8">
          <w:rPr>
            <w:rFonts w:ascii="Times New Roman" w:eastAsia="Times New Roman" w:hAnsi="Times New Roman" w:cs="Times New Roman"/>
            <w:b/>
          </w:rPr>
          <w:t>31</w:t>
        </w:r>
      </w:hyperlink>
      <w:r w:rsidRPr="00CE50D8">
        <w:rPr>
          <w:rFonts w:ascii="Times New Roman" w:eastAsia="Times New Roman" w:hAnsi="Times New Roman" w:cs="Times New Roman"/>
          <w:b/>
        </w:rPr>
        <w:t xml:space="preserve">, </w:t>
      </w:r>
      <w:hyperlink w:anchor="_heading=h.4f1mdlm">
        <w:r w:rsidRPr="00CE50D8">
          <w:rPr>
            <w:rFonts w:ascii="Times New Roman" w:eastAsia="Times New Roman" w:hAnsi="Times New Roman" w:cs="Times New Roman"/>
            <w:b/>
          </w:rPr>
          <w:t>39</w:t>
        </w:r>
      </w:hyperlink>
      <w:r w:rsidRPr="00CE50D8">
        <w:rPr>
          <w:rFonts w:ascii="Times New Roman" w:eastAsia="Times New Roman" w:hAnsi="Times New Roman" w:cs="Times New Roman"/>
          <w:b/>
        </w:rPr>
        <w:t xml:space="preserve">, </w:t>
      </w:r>
      <w:hyperlink w:anchor="_heading=h.2u6wntf">
        <w:r w:rsidRPr="00CE50D8">
          <w:rPr>
            <w:rFonts w:ascii="Times New Roman" w:eastAsia="Times New Roman" w:hAnsi="Times New Roman" w:cs="Times New Roman"/>
            <w:b/>
          </w:rPr>
          <w:t>40</w:t>
        </w:r>
      </w:hyperlink>
      <w:r w:rsidRPr="00CE50D8">
        <w:rPr>
          <w:rFonts w:ascii="Times New Roman" w:eastAsia="Times New Roman" w:hAnsi="Times New Roman" w:cs="Times New Roman"/>
          <w:b/>
        </w:rPr>
        <w:t xml:space="preserve">, </w:t>
      </w:r>
      <w:hyperlink w:anchor="_heading=h.28h4qwu">
        <w:r w:rsidRPr="00CE50D8">
          <w:rPr>
            <w:rFonts w:ascii="Times New Roman" w:eastAsia="Times New Roman" w:hAnsi="Times New Roman" w:cs="Times New Roman"/>
            <w:b/>
          </w:rPr>
          <w:t>43</w:t>
        </w:r>
      </w:hyperlink>
      <w:r w:rsidRPr="00CE50D8">
        <w:rPr>
          <w:rFonts w:ascii="Times New Roman" w:eastAsia="Times New Roman" w:hAnsi="Times New Roman" w:cs="Times New Roman"/>
          <w:b/>
        </w:rPr>
        <w:t xml:space="preserve">, </w:t>
      </w:r>
      <w:hyperlink w:anchor="_heading=h.4h042r0">
        <w:r w:rsidRPr="00CE50D8">
          <w:rPr>
            <w:rFonts w:ascii="Times New Roman" w:eastAsia="Times New Roman" w:hAnsi="Times New Roman" w:cs="Times New Roman"/>
            <w:b/>
          </w:rPr>
          <w:t>7</w:t>
        </w:r>
      </w:hyperlink>
      <w:r w:rsidRPr="00CE50D8">
        <w:rPr>
          <w:rFonts w:ascii="Times New Roman" w:eastAsia="Times New Roman" w:hAnsi="Times New Roman" w:cs="Times New Roman"/>
          <w:b/>
        </w:rPr>
        <w:t xml:space="preserve">4, </w:t>
      </w:r>
      <w:hyperlink w:anchor="_heading=h.1baon6m">
        <w:r w:rsidRPr="00CE50D8">
          <w:rPr>
            <w:rFonts w:ascii="Times New Roman" w:eastAsia="Times New Roman" w:hAnsi="Times New Roman" w:cs="Times New Roman"/>
            <w:b/>
          </w:rPr>
          <w:t>7</w:t>
        </w:r>
      </w:hyperlink>
      <w:r w:rsidRPr="00CE50D8">
        <w:rPr>
          <w:rFonts w:ascii="Times New Roman" w:eastAsia="Times New Roman" w:hAnsi="Times New Roman" w:cs="Times New Roman"/>
          <w:b/>
        </w:rPr>
        <w:t>6]</w:t>
      </w:r>
      <w:r w:rsidRPr="00CE50D8">
        <w:rPr>
          <w:rFonts w:ascii="Times New Roman" w:eastAsia="Times New Roman" w:hAnsi="Times New Roman" w:cs="Times New Roman"/>
        </w:rPr>
        <w:t>. However, most of the compound fails in the clinical trials due to their undesirable side effects. Drug repurposing emerges as a potential alternative where new therapeutics indications are identified for the currently approved drugs. This motivates us to undertake the designing initiative to identify novel AChE inhibitors with a structural scaffold of existing drugs. Initially, a multi-tier target fishing approach combining pharmacophore modeling and 3D similarity searches has been opted to identify novel lead AChEI from the Villapharma compound library with a scaffold of approved drugs. Further lead optimization using a substructure search screened three highly selective AChE inhibitors comprising a 6-(2-(pyrrolidin-1-yl)pyrimidin-4-yl)-thiazolo[3,2-a]pyrimidine skeleton with the IC</w:t>
      </w:r>
      <w:r w:rsidRPr="00CE50D8">
        <w:rPr>
          <w:rFonts w:ascii="Times New Roman" w:eastAsia="Times New Roman" w:hAnsi="Times New Roman" w:cs="Times New Roman"/>
          <w:vertAlign w:val="subscript"/>
        </w:rPr>
        <w:t>50</w:t>
      </w:r>
      <w:r w:rsidRPr="00CE50D8">
        <w:rPr>
          <w:rFonts w:ascii="Times New Roman" w:eastAsia="Times New Roman" w:hAnsi="Times New Roman" w:cs="Times New Roman"/>
        </w:rPr>
        <w:t xml:space="preserve"> value of </w:t>
      </w:r>
      <w:r w:rsidR="005552C9" w:rsidRPr="00CE50D8">
        <w:rPr>
          <w:szCs w:val="20"/>
        </w:rPr>
        <w:t>13.10</w:t>
      </w:r>
      <w:r w:rsidR="005552C9" w:rsidRPr="00CE50D8">
        <w:rPr>
          <w:rFonts w:cstheme="minorHAnsi"/>
          <w:szCs w:val="20"/>
        </w:rPr>
        <w:t>±</w:t>
      </w:r>
      <w:r w:rsidR="005552C9" w:rsidRPr="00CE50D8">
        <w:rPr>
          <w:szCs w:val="20"/>
        </w:rPr>
        <w:t>0.53</w:t>
      </w:r>
      <w:r w:rsidR="005552C9" w:rsidRPr="00CE50D8">
        <w:rPr>
          <w:rFonts w:ascii="Times New Roman" w:eastAsia="Times New Roman" w:hAnsi="Times New Roman" w:cs="Times New Roman"/>
        </w:rPr>
        <w:t xml:space="preserve">, </w:t>
      </w:r>
      <w:r w:rsidR="005552C9" w:rsidRPr="00CE50D8">
        <w:rPr>
          <w:szCs w:val="20"/>
        </w:rPr>
        <w:t>16.02</w:t>
      </w:r>
      <w:r w:rsidR="005552C9" w:rsidRPr="00CE50D8">
        <w:rPr>
          <w:rFonts w:cstheme="minorHAnsi"/>
          <w:szCs w:val="20"/>
        </w:rPr>
        <w:t>±</w:t>
      </w:r>
      <w:r w:rsidR="005552C9" w:rsidRPr="00CE50D8">
        <w:rPr>
          <w:szCs w:val="20"/>
        </w:rPr>
        <w:t>0.46</w:t>
      </w:r>
      <w:r w:rsidR="005552C9" w:rsidRPr="00CE50D8">
        <w:rPr>
          <w:rFonts w:ascii="Times New Roman" w:eastAsia="Times New Roman" w:hAnsi="Times New Roman" w:cs="Times New Roman"/>
        </w:rPr>
        <w:t xml:space="preserve">, and </w:t>
      </w:r>
      <w:r w:rsidR="005552C9" w:rsidRPr="00CE50D8">
        <w:rPr>
          <w:szCs w:val="20"/>
        </w:rPr>
        <w:t>6.22</w:t>
      </w:r>
      <w:r w:rsidR="005552C9" w:rsidRPr="00CE50D8">
        <w:rPr>
          <w:rFonts w:cstheme="minorHAnsi"/>
          <w:szCs w:val="20"/>
        </w:rPr>
        <w:t>±</w:t>
      </w:r>
      <w:r w:rsidR="005552C9" w:rsidRPr="00CE50D8">
        <w:rPr>
          <w:szCs w:val="20"/>
        </w:rPr>
        <w:t>0.54</w:t>
      </w:r>
      <w:r w:rsidR="005552C9" w:rsidRPr="00CE50D8">
        <w:rPr>
          <w:rFonts w:ascii="Times New Roman" w:eastAsia="Times New Roman" w:hAnsi="Times New Roman" w:cs="Times New Roman"/>
        </w:rPr>
        <w:t xml:space="preserve"> µM. </w:t>
      </w:r>
      <w:r w:rsidRPr="00CE50D8">
        <w:rPr>
          <w:rFonts w:ascii="Times New Roman" w:eastAsia="Times New Roman" w:hAnsi="Times New Roman" w:cs="Times New Roman"/>
        </w:rPr>
        <w:t xml:space="preserve">To the best of our knowledge, </w:t>
      </w:r>
      <w:r w:rsidRPr="00CE50D8">
        <w:rPr>
          <w:rFonts w:ascii="Times New Roman" w:eastAsia="Times New Roman" w:hAnsi="Times New Roman" w:cs="Times New Roman"/>
        </w:rPr>
        <w:lastRenderedPageBreak/>
        <w:t xml:space="preserve">the reported scaffolds are novel. </w:t>
      </w:r>
      <w:r w:rsidR="00340934" w:rsidRPr="00CE50D8">
        <w:rPr>
          <w:rFonts w:ascii="Times New Roman" w:eastAsia="Times New Roman" w:hAnsi="Times New Roman" w:cs="Times New Roman"/>
        </w:rPr>
        <w:t>We also would like to emphasize that each computational method developed with definite assumptions. Therefore each method has its advantage and disadvantage. Therefore, it is often wise to interpret results in terms of consensus prediction which reduced the chance of false positive</w:t>
      </w:r>
      <w:r w:rsidR="0061683E" w:rsidRPr="00CE50D8">
        <w:rPr>
          <w:rFonts w:ascii="Times New Roman" w:eastAsia="Times New Roman" w:hAnsi="Times New Roman" w:cs="Times New Roman"/>
        </w:rPr>
        <w:t xml:space="preserve">. </w:t>
      </w:r>
      <w:r w:rsidR="00340934" w:rsidRPr="00CE50D8">
        <w:rPr>
          <w:rFonts w:ascii="Times New Roman" w:eastAsia="Times New Roman" w:hAnsi="Times New Roman" w:cs="Times New Roman"/>
        </w:rPr>
        <w:t xml:space="preserve">Here, we have demonstrated how we can integrate different computational methods in lead discovery. </w:t>
      </w:r>
      <w:r w:rsidRPr="00CE50D8">
        <w:rPr>
          <w:rFonts w:ascii="Times New Roman" w:eastAsia="Times New Roman" w:hAnsi="Times New Roman" w:cs="Times New Roman"/>
        </w:rPr>
        <w:t xml:space="preserve">The approach adopted in the present study is promising in lead discovery based on </w:t>
      </w:r>
      <w:r w:rsidR="005C3327"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 xml:space="preserve">drug repurposing approach and opens </w:t>
      </w:r>
      <w:r w:rsidR="005C3327" w:rsidRPr="00CE50D8">
        <w:rPr>
          <w:rFonts w:ascii="Times New Roman" w:eastAsia="Times New Roman" w:hAnsi="Times New Roman" w:cs="Times New Roman"/>
        </w:rPr>
        <w:t xml:space="preserve">the </w:t>
      </w:r>
      <w:r w:rsidRPr="00CE50D8">
        <w:rPr>
          <w:rFonts w:ascii="Times New Roman" w:eastAsia="Times New Roman" w:hAnsi="Times New Roman" w:cs="Times New Roman"/>
        </w:rPr>
        <w:t xml:space="preserve">door for therapeutic discovery for other complex diseases too.  </w:t>
      </w:r>
    </w:p>
    <w:p w14:paraId="6BFBFDF4" w14:textId="77777777" w:rsidR="00221BA9" w:rsidRPr="00CE50D8" w:rsidRDefault="00221BA9">
      <w:pPr>
        <w:spacing w:line="480" w:lineRule="auto"/>
        <w:jc w:val="both"/>
        <w:rPr>
          <w:rFonts w:ascii="Times New Roman" w:eastAsia="Times New Roman" w:hAnsi="Times New Roman" w:cs="Times New Roman"/>
        </w:rPr>
      </w:pPr>
    </w:p>
    <w:p w14:paraId="3D4A59C6" w14:textId="77777777" w:rsidR="005C3327" w:rsidRPr="00CE50D8" w:rsidRDefault="005C3327">
      <w:pPr>
        <w:spacing w:line="480" w:lineRule="auto"/>
        <w:jc w:val="both"/>
        <w:rPr>
          <w:rFonts w:ascii="Times New Roman" w:eastAsia="Times New Roman" w:hAnsi="Times New Roman" w:cs="Times New Roman"/>
          <w:b/>
        </w:rPr>
      </w:pPr>
      <w:r w:rsidRPr="00CE50D8">
        <w:rPr>
          <w:rFonts w:ascii="Times New Roman" w:eastAsia="Times New Roman" w:hAnsi="Times New Roman" w:cs="Times New Roman"/>
          <w:b/>
        </w:rPr>
        <w:t>Acknowledgment</w:t>
      </w:r>
    </w:p>
    <w:p w14:paraId="6862DC91" w14:textId="77777777" w:rsidR="00221BA9" w:rsidRPr="00CE50D8" w:rsidRDefault="005C3327">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 xml:space="preserve">This work was funded by a grant from the Spanish Ministry of Economy and Competitiveness (CTQ2017-87974-R) and by the Fundación Séneca del Centro de Coordinación de la Investigación de la Regioń de Murcia under Projects 20988/PI/18 and 20524/PDC/18. This research was partially supported by the supercomputing infrastructure of Poznan Supercomputing Center, the e-infrastructure program of the Research Council of Norway, the supercomputer center of UiT − the Arctic University of Norway and by the computing facilities of Extremadura Research Centre for Advanced Technologies (CETA− CIEMAT), funded by the European Regional Development Fund (ERDF). CETA−CIEMAT belongs to CIEMAT and the Government of Spain. </w:t>
      </w:r>
      <w:r w:rsidR="001A0A0E" w:rsidRPr="00CE50D8">
        <w:rPr>
          <w:rFonts w:ascii="Times New Roman" w:eastAsia="Times New Roman" w:hAnsi="Times New Roman" w:cs="Times New Roman"/>
        </w:rPr>
        <w:t>The authors also acknowledge the computing resources and technical support provided by the Plataforma Andaluza de Bioinformática of the University of Málaga. Powered@NLHPC research was partially supported by the Supercomputing infrastructure of the NLHPC (ECM- 02).</w:t>
      </w:r>
    </w:p>
    <w:p w14:paraId="33B48623" w14:textId="77777777" w:rsidR="00221BA9" w:rsidRPr="00CE50D8" w:rsidRDefault="00221BA9">
      <w:pPr>
        <w:spacing w:line="480" w:lineRule="auto"/>
        <w:jc w:val="both"/>
        <w:rPr>
          <w:rFonts w:ascii="Times New Roman" w:eastAsia="Times New Roman" w:hAnsi="Times New Roman" w:cs="Times New Roman"/>
          <w:b/>
        </w:rPr>
      </w:pPr>
    </w:p>
    <w:p w14:paraId="2F8AAFED" w14:textId="77777777" w:rsidR="00221BA9" w:rsidRPr="00CE50D8" w:rsidRDefault="001A0A0E">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b/>
        </w:rPr>
        <w:t>Conflicts of Interest:</w:t>
      </w:r>
      <w:r w:rsidRPr="00CE50D8">
        <w:rPr>
          <w:rFonts w:ascii="Times New Roman" w:eastAsia="Times New Roman" w:hAnsi="Times New Roman" w:cs="Times New Roman"/>
        </w:rPr>
        <w:t xml:space="preserve"> The authors declare no conflict of interest. </w:t>
      </w:r>
    </w:p>
    <w:p w14:paraId="768BEE50" w14:textId="77777777" w:rsidR="00221BA9" w:rsidRPr="00CE50D8" w:rsidRDefault="00221BA9">
      <w:pPr>
        <w:spacing w:line="480" w:lineRule="auto"/>
        <w:jc w:val="both"/>
        <w:rPr>
          <w:rFonts w:ascii="Times New Roman" w:eastAsia="Times New Roman" w:hAnsi="Times New Roman" w:cs="Times New Roman"/>
          <w:b/>
        </w:rPr>
      </w:pPr>
    </w:p>
    <w:p w14:paraId="71425D62" w14:textId="77777777" w:rsidR="00221BA9" w:rsidRPr="00CE50D8" w:rsidRDefault="001A0A0E">
      <w:pPr>
        <w:spacing w:line="480" w:lineRule="auto"/>
        <w:jc w:val="both"/>
        <w:rPr>
          <w:rFonts w:ascii="Times New Roman" w:eastAsia="Times New Roman" w:hAnsi="Times New Roman" w:cs="Times New Roman"/>
          <w:b/>
        </w:rPr>
      </w:pPr>
      <w:r w:rsidRPr="00CE50D8">
        <w:rPr>
          <w:rFonts w:ascii="Times New Roman" w:eastAsia="Times New Roman" w:hAnsi="Times New Roman" w:cs="Times New Roman"/>
          <w:b/>
        </w:rPr>
        <w:t>References</w:t>
      </w:r>
    </w:p>
    <w:p w14:paraId="1A056F37" w14:textId="77777777" w:rsidR="00221BA9" w:rsidRPr="00CE50D8" w:rsidRDefault="001A0A0E">
      <w:pPr>
        <w:spacing w:line="480" w:lineRule="auto"/>
        <w:jc w:val="both"/>
        <w:rPr>
          <w:rFonts w:ascii="Times New Roman" w:eastAsia="Times New Roman" w:hAnsi="Times New Roman" w:cs="Times New Roman"/>
        </w:rPr>
      </w:pPr>
      <w:bookmarkStart w:id="19" w:name="_heading=h.2et92p0" w:colFirst="0" w:colLast="0"/>
      <w:bookmarkEnd w:id="19"/>
      <w:r w:rsidRPr="00CE50D8">
        <w:rPr>
          <w:rFonts w:ascii="Times New Roman" w:eastAsia="Times New Roman" w:hAnsi="Times New Roman" w:cs="Times New Roman"/>
        </w:rPr>
        <w:lastRenderedPageBreak/>
        <w:t>1.</w:t>
      </w:r>
      <w:r w:rsidRPr="00CE50D8">
        <w:rPr>
          <w:rFonts w:ascii="Times New Roman" w:eastAsia="Times New Roman" w:hAnsi="Times New Roman" w:cs="Times New Roman"/>
        </w:rPr>
        <w:tab/>
        <w:t xml:space="preserve">Selkoe, D. J., The molecular pathology of Alzheimer's disease. </w:t>
      </w:r>
      <w:r w:rsidRPr="00CE50D8">
        <w:rPr>
          <w:rFonts w:ascii="Times New Roman" w:eastAsia="Times New Roman" w:hAnsi="Times New Roman" w:cs="Times New Roman"/>
          <w:i/>
        </w:rPr>
        <w:t xml:space="preserve">Neuron </w:t>
      </w:r>
      <w:r w:rsidRPr="00CE50D8">
        <w:rPr>
          <w:rFonts w:ascii="Times New Roman" w:eastAsia="Times New Roman" w:hAnsi="Times New Roman" w:cs="Times New Roman"/>
        </w:rPr>
        <w:t>6, (4), 487-498.</w:t>
      </w:r>
    </w:p>
    <w:p w14:paraId="5D885923" w14:textId="77777777" w:rsidR="00221BA9" w:rsidRPr="00CE50D8" w:rsidRDefault="001A0A0E">
      <w:pPr>
        <w:spacing w:line="480" w:lineRule="auto"/>
        <w:jc w:val="both"/>
        <w:rPr>
          <w:rFonts w:ascii="Times New Roman" w:eastAsia="Times New Roman" w:hAnsi="Times New Roman" w:cs="Times New Roman"/>
        </w:rPr>
      </w:pPr>
      <w:bookmarkStart w:id="20" w:name="_heading=h.tyjcwt" w:colFirst="0" w:colLast="0"/>
      <w:bookmarkEnd w:id="20"/>
      <w:r w:rsidRPr="00CE50D8">
        <w:rPr>
          <w:rFonts w:ascii="Times New Roman" w:eastAsia="Times New Roman" w:hAnsi="Times New Roman" w:cs="Times New Roman"/>
        </w:rPr>
        <w:t>2.</w:t>
      </w:r>
      <w:r w:rsidRPr="00CE50D8">
        <w:rPr>
          <w:rFonts w:ascii="Times New Roman" w:eastAsia="Times New Roman" w:hAnsi="Times New Roman" w:cs="Times New Roman"/>
        </w:rPr>
        <w:tab/>
        <w:t xml:space="preserve">Roberson, E. D.; Mucke, L., 100 years and counting: prospects for defeating Alzheimer's disease. </w:t>
      </w:r>
      <w:r w:rsidRPr="00CE50D8">
        <w:rPr>
          <w:rFonts w:ascii="Times New Roman" w:eastAsia="Times New Roman" w:hAnsi="Times New Roman" w:cs="Times New Roman"/>
          <w:i/>
        </w:rPr>
        <w:t xml:space="preserve">Science </w:t>
      </w:r>
      <w:r w:rsidRPr="00CE50D8">
        <w:rPr>
          <w:rFonts w:ascii="Times New Roman" w:eastAsia="Times New Roman" w:hAnsi="Times New Roman" w:cs="Times New Roman"/>
          <w:b/>
        </w:rPr>
        <w:t>2006,</w:t>
      </w:r>
      <w:r w:rsidRPr="00CE50D8">
        <w:rPr>
          <w:rFonts w:ascii="Times New Roman" w:eastAsia="Times New Roman" w:hAnsi="Times New Roman" w:cs="Times New Roman"/>
        </w:rPr>
        <w:t xml:space="preserve"> 314.</w:t>
      </w:r>
    </w:p>
    <w:p w14:paraId="52D06A7B" w14:textId="1C4770C4" w:rsidR="00221BA9" w:rsidRPr="00CE50D8" w:rsidRDefault="001A0A0E">
      <w:pPr>
        <w:spacing w:line="480" w:lineRule="auto"/>
        <w:jc w:val="both"/>
        <w:rPr>
          <w:rFonts w:ascii="Times New Roman" w:eastAsia="Times New Roman" w:hAnsi="Times New Roman" w:cs="Times New Roman"/>
        </w:rPr>
      </w:pPr>
      <w:bookmarkStart w:id="21" w:name="_heading=h.3dy6vkm" w:colFirst="0" w:colLast="0"/>
      <w:bookmarkEnd w:id="21"/>
      <w:r w:rsidRPr="00CE50D8">
        <w:rPr>
          <w:rFonts w:ascii="Times New Roman" w:eastAsia="Times New Roman" w:hAnsi="Times New Roman" w:cs="Times New Roman"/>
        </w:rPr>
        <w:t>3.</w:t>
      </w:r>
      <w:r w:rsidRPr="00CE50D8">
        <w:rPr>
          <w:rFonts w:ascii="Times New Roman" w:eastAsia="Times New Roman" w:hAnsi="Times New Roman" w:cs="Times New Roman"/>
        </w:rPr>
        <w:tab/>
        <w:t>Sandipan, C., Multi-potent Natural Scaffolds Targeting Amyloid Cascade: In Search of Alzheimer</w:t>
      </w:r>
      <w:r w:rsidR="00352A7C" w:rsidRPr="00CE50D8">
        <w:rPr>
          <w:rFonts w:ascii="Times New Roman" w:eastAsia="Times New Roman" w:hAnsi="Times New Roman" w:cs="Times New Roman"/>
        </w:rPr>
        <w:t>‘</w:t>
      </w:r>
      <w:r w:rsidRPr="00CE50D8">
        <w:rPr>
          <w:rFonts w:ascii="Times New Roman" w:eastAsia="Times New Roman" w:hAnsi="Times New Roman" w:cs="Times New Roman"/>
        </w:rPr>
        <w:t xml:space="preserve">s Disease Therapeutics. </w:t>
      </w:r>
      <w:r w:rsidRPr="00CE50D8">
        <w:rPr>
          <w:rFonts w:ascii="Times New Roman" w:eastAsia="Times New Roman" w:hAnsi="Times New Roman" w:cs="Times New Roman"/>
          <w:i/>
        </w:rPr>
        <w:t>Curr</w:t>
      </w:r>
      <w:r w:rsidR="00655670"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Top</w:t>
      </w:r>
      <w:r w:rsidR="00655670" w:rsidRPr="00CE50D8">
        <w:rPr>
          <w:rFonts w:ascii="Times New Roman" w:eastAsia="Times New Roman" w:hAnsi="Times New Roman" w:cs="Times New Roman"/>
          <w:i/>
        </w:rPr>
        <w:t xml:space="preserve">. </w:t>
      </w:r>
      <w:r w:rsidRPr="00CE50D8">
        <w:rPr>
          <w:rFonts w:ascii="Times New Roman" w:eastAsia="Times New Roman" w:hAnsi="Times New Roman" w:cs="Times New Roman"/>
          <w:i/>
        </w:rPr>
        <w:t>Med</w:t>
      </w:r>
      <w:r w:rsidR="00655670" w:rsidRPr="00CE50D8">
        <w:rPr>
          <w:rFonts w:ascii="Times New Roman" w:eastAsia="Times New Roman" w:hAnsi="Times New Roman" w:cs="Times New Roman"/>
          <w:i/>
        </w:rPr>
        <w:t xml:space="preserve">. </w:t>
      </w:r>
      <w:r w:rsidRPr="00CE50D8">
        <w:rPr>
          <w:rFonts w:ascii="Times New Roman" w:eastAsia="Times New Roman" w:hAnsi="Times New Roman" w:cs="Times New Roman"/>
          <w:i/>
        </w:rPr>
        <w:t>Chem</w:t>
      </w:r>
      <w:r w:rsidR="00655670"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2017,</w:t>
      </w:r>
      <w:r w:rsidRPr="00CE50D8">
        <w:rPr>
          <w:rFonts w:ascii="Times New Roman" w:eastAsia="Times New Roman" w:hAnsi="Times New Roman" w:cs="Times New Roman"/>
        </w:rPr>
        <w:t xml:space="preserve"> 17, (31), 3336-3348.</w:t>
      </w:r>
    </w:p>
    <w:p w14:paraId="2091D790" w14:textId="4C18D833" w:rsidR="00221BA9" w:rsidRPr="00CE50D8" w:rsidRDefault="001A0A0E">
      <w:pPr>
        <w:spacing w:line="480" w:lineRule="auto"/>
        <w:jc w:val="both"/>
        <w:rPr>
          <w:rFonts w:ascii="Times New Roman" w:eastAsia="Times New Roman" w:hAnsi="Times New Roman" w:cs="Times New Roman"/>
        </w:rPr>
      </w:pPr>
      <w:bookmarkStart w:id="22" w:name="_heading=h.1t3h5sf" w:colFirst="0" w:colLast="0"/>
      <w:bookmarkEnd w:id="22"/>
      <w:r w:rsidRPr="00CE50D8">
        <w:rPr>
          <w:rFonts w:ascii="Times New Roman" w:eastAsia="Times New Roman" w:hAnsi="Times New Roman" w:cs="Times New Roman"/>
        </w:rPr>
        <w:t>4.</w:t>
      </w:r>
      <w:r w:rsidRPr="00CE50D8">
        <w:rPr>
          <w:rFonts w:ascii="Times New Roman" w:eastAsia="Times New Roman" w:hAnsi="Times New Roman" w:cs="Times New Roman"/>
        </w:rPr>
        <w:tab/>
        <w:t xml:space="preserve">Krüger, J.; Moilanen, V.; Majamaa, K.; Remes, A. M., Molecular Genetic Analysis of the APP, PSEN1, and PSEN2 Genes in Finnish Patients With Early-onset Alzheimer Disease and Frontotemporal Lobar Degeneration. </w:t>
      </w:r>
      <w:r w:rsidRPr="00CE50D8">
        <w:rPr>
          <w:rFonts w:ascii="Times New Roman" w:eastAsia="Times New Roman" w:hAnsi="Times New Roman" w:cs="Times New Roman"/>
          <w:i/>
        </w:rPr>
        <w:t>Alzheimer Dis</w:t>
      </w:r>
      <w:r w:rsidR="00655670" w:rsidRPr="00CE50D8">
        <w:rPr>
          <w:rFonts w:ascii="Times New Roman" w:eastAsia="Times New Roman" w:hAnsi="Times New Roman" w:cs="Times New Roman"/>
          <w:i/>
        </w:rPr>
        <w:t xml:space="preserve">. </w:t>
      </w:r>
      <w:r w:rsidRPr="00CE50D8">
        <w:rPr>
          <w:rFonts w:ascii="Times New Roman" w:eastAsia="Times New Roman" w:hAnsi="Times New Roman" w:cs="Times New Roman"/>
          <w:i/>
        </w:rPr>
        <w:t>Assoc</w:t>
      </w:r>
      <w:r w:rsidR="00655670" w:rsidRPr="00CE50D8">
        <w:rPr>
          <w:rFonts w:ascii="Times New Roman" w:eastAsia="Times New Roman" w:hAnsi="Times New Roman" w:cs="Times New Roman"/>
          <w:i/>
        </w:rPr>
        <w:t xml:space="preserve">. </w:t>
      </w:r>
      <w:r w:rsidRPr="00CE50D8">
        <w:rPr>
          <w:rFonts w:ascii="Times New Roman" w:eastAsia="Times New Roman" w:hAnsi="Times New Roman" w:cs="Times New Roman"/>
          <w:i/>
        </w:rPr>
        <w:t>Dis</w:t>
      </w:r>
      <w:r w:rsidR="00655670" w:rsidRPr="00CE50D8">
        <w:rPr>
          <w:rFonts w:ascii="Times New Roman" w:eastAsia="Times New Roman" w:hAnsi="Times New Roman" w:cs="Times New Roman"/>
          <w:i/>
        </w:rPr>
        <w:t xml:space="preserve">ord. </w:t>
      </w:r>
      <w:r w:rsidRPr="00CE50D8">
        <w:rPr>
          <w:rFonts w:ascii="Times New Roman" w:eastAsia="Times New Roman" w:hAnsi="Times New Roman" w:cs="Times New Roman"/>
          <w:b/>
        </w:rPr>
        <w:t>2012,</w:t>
      </w:r>
      <w:r w:rsidRPr="00CE50D8">
        <w:rPr>
          <w:rFonts w:ascii="Times New Roman" w:eastAsia="Times New Roman" w:hAnsi="Times New Roman" w:cs="Times New Roman"/>
        </w:rPr>
        <w:t xml:space="preserve"> 26, (3).</w:t>
      </w:r>
    </w:p>
    <w:p w14:paraId="160771DA" w14:textId="14FAFC04" w:rsidR="00221BA9" w:rsidRPr="00CE50D8" w:rsidRDefault="001A0A0E">
      <w:pPr>
        <w:spacing w:line="480" w:lineRule="auto"/>
        <w:jc w:val="both"/>
        <w:rPr>
          <w:rFonts w:ascii="Times New Roman" w:eastAsia="Times New Roman" w:hAnsi="Times New Roman" w:cs="Times New Roman"/>
        </w:rPr>
      </w:pPr>
      <w:bookmarkStart w:id="23" w:name="_heading=h.4d34og8" w:colFirst="0" w:colLast="0"/>
      <w:bookmarkEnd w:id="23"/>
      <w:r w:rsidRPr="00CE50D8">
        <w:rPr>
          <w:rFonts w:ascii="Times New Roman" w:eastAsia="Times New Roman" w:hAnsi="Times New Roman" w:cs="Times New Roman"/>
        </w:rPr>
        <w:t>5.</w:t>
      </w:r>
      <w:r w:rsidRPr="00CE50D8">
        <w:rPr>
          <w:rFonts w:ascii="Times New Roman" w:eastAsia="Times New Roman" w:hAnsi="Times New Roman" w:cs="Times New Roman"/>
        </w:rPr>
        <w:tab/>
        <w:t xml:space="preserve">Schmechel, D. E.; Saunders, A. M.; Strittmatter, W. J.; Crain, B. J.; Hulette, C. M.; Joo, S. H.; Pericak-Vance, M. A.; Goldgaber, D.; Roses, A. D., Increased amyloid beta-peptide deposition in cerebral cortex as a consequence of apolipoprotein E genotype in late-onset Alzheimer disease. </w:t>
      </w:r>
      <w:r w:rsidRPr="00CE50D8">
        <w:rPr>
          <w:rFonts w:ascii="Times New Roman" w:eastAsia="Times New Roman" w:hAnsi="Times New Roman" w:cs="Times New Roman"/>
          <w:i/>
        </w:rPr>
        <w:t>Proc</w:t>
      </w:r>
      <w:r w:rsidR="00655670" w:rsidRPr="00CE50D8">
        <w:rPr>
          <w:rFonts w:ascii="Times New Roman" w:eastAsia="Times New Roman" w:hAnsi="Times New Roman" w:cs="Times New Roman"/>
          <w:i/>
        </w:rPr>
        <w:t xml:space="preserve">. </w:t>
      </w:r>
      <w:r w:rsidRPr="00CE50D8">
        <w:rPr>
          <w:rFonts w:ascii="Times New Roman" w:eastAsia="Times New Roman" w:hAnsi="Times New Roman" w:cs="Times New Roman"/>
          <w:i/>
        </w:rPr>
        <w:t>Nat</w:t>
      </w:r>
      <w:r w:rsidR="00655670" w:rsidRPr="00CE50D8">
        <w:rPr>
          <w:rFonts w:ascii="Times New Roman" w:eastAsia="Times New Roman" w:hAnsi="Times New Roman" w:cs="Times New Roman"/>
          <w:i/>
        </w:rPr>
        <w:t xml:space="preserve">l. </w:t>
      </w:r>
      <w:r w:rsidRPr="00CE50D8">
        <w:rPr>
          <w:rFonts w:ascii="Times New Roman" w:eastAsia="Times New Roman" w:hAnsi="Times New Roman" w:cs="Times New Roman"/>
          <w:i/>
        </w:rPr>
        <w:t>Acad</w:t>
      </w:r>
      <w:r w:rsidR="00655670" w:rsidRPr="00CE50D8">
        <w:rPr>
          <w:rFonts w:ascii="Times New Roman" w:eastAsia="Times New Roman" w:hAnsi="Times New Roman" w:cs="Times New Roman"/>
          <w:i/>
        </w:rPr>
        <w:t xml:space="preserve">. </w:t>
      </w:r>
      <w:r w:rsidRPr="00CE50D8">
        <w:rPr>
          <w:rFonts w:ascii="Times New Roman" w:eastAsia="Times New Roman" w:hAnsi="Times New Roman" w:cs="Times New Roman"/>
          <w:i/>
        </w:rPr>
        <w:t>Sci</w:t>
      </w:r>
      <w:r w:rsidR="00655670" w:rsidRPr="00CE50D8">
        <w:rPr>
          <w:rFonts w:ascii="Times New Roman" w:eastAsia="Times New Roman" w:hAnsi="Times New Roman" w:cs="Times New Roman"/>
          <w:iCs/>
        </w:rPr>
        <w:t xml:space="preserve">. </w:t>
      </w:r>
      <w:r w:rsidR="00C419C9" w:rsidRPr="00CE50D8">
        <w:rPr>
          <w:rFonts w:ascii="Times New Roman" w:eastAsia="Times New Roman" w:hAnsi="Times New Roman" w:cs="Times New Roman"/>
          <w:iCs/>
        </w:rPr>
        <w:t>USA</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1993,</w:t>
      </w:r>
      <w:r w:rsidRPr="00CE50D8">
        <w:rPr>
          <w:rFonts w:ascii="Times New Roman" w:eastAsia="Times New Roman" w:hAnsi="Times New Roman" w:cs="Times New Roman"/>
        </w:rPr>
        <w:t xml:space="preserve"> 90, (20), 9649-9653.</w:t>
      </w:r>
    </w:p>
    <w:p w14:paraId="36A77710" w14:textId="6A8E4A06" w:rsidR="00221BA9" w:rsidRPr="00CE50D8" w:rsidRDefault="001A0A0E">
      <w:pPr>
        <w:spacing w:line="480" w:lineRule="auto"/>
        <w:jc w:val="both"/>
        <w:rPr>
          <w:rFonts w:ascii="Times New Roman" w:eastAsia="Times New Roman" w:hAnsi="Times New Roman" w:cs="Times New Roman"/>
        </w:rPr>
      </w:pPr>
      <w:bookmarkStart w:id="24" w:name="_heading=h.2s8eyo1" w:colFirst="0" w:colLast="0"/>
      <w:bookmarkEnd w:id="24"/>
      <w:r w:rsidRPr="00CE50D8">
        <w:rPr>
          <w:rFonts w:ascii="Times New Roman" w:eastAsia="Times New Roman" w:hAnsi="Times New Roman" w:cs="Times New Roman"/>
        </w:rPr>
        <w:t>6.</w:t>
      </w:r>
      <w:r w:rsidRPr="00CE50D8">
        <w:rPr>
          <w:rFonts w:ascii="Times New Roman" w:eastAsia="Times New Roman" w:hAnsi="Times New Roman" w:cs="Times New Roman"/>
        </w:rPr>
        <w:tab/>
        <w:t xml:space="preserve">Panza, F.; Frisardi, V.; Seripa, D.; D’Onofrio, G.; Santamato, A.; Masullo, C.; Logroscino, G.; Solfrizzi, V.; Pilotto, A., Apolipoprotein E genotypes and neuropsychiatric symptoms and syndromes in late-onset Alzheimer's disease. </w:t>
      </w:r>
      <w:r w:rsidRPr="00CE50D8">
        <w:rPr>
          <w:rFonts w:ascii="Times New Roman" w:eastAsia="Times New Roman" w:hAnsi="Times New Roman" w:cs="Times New Roman"/>
          <w:i/>
        </w:rPr>
        <w:t>Ageing Res</w:t>
      </w:r>
      <w:r w:rsidR="00C419C9"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Rev</w:t>
      </w:r>
      <w:r w:rsidR="00C419C9"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2012,</w:t>
      </w:r>
      <w:r w:rsidRPr="00CE50D8">
        <w:rPr>
          <w:rFonts w:ascii="Times New Roman" w:eastAsia="Times New Roman" w:hAnsi="Times New Roman" w:cs="Times New Roman"/>
        </w:rPr>
        <w:t xml:space="preserve"> 11, (1), 87-103.</w:t>
      </w:r>
    </w:p>
    <w:p w14:paraId="518F637F" w14:textId="21B66CE2" w:rsidR="00221BA9" w:rsidRPr="00CE50D8" w:rsidRDefault="001A0A0E">
      <w:pPr>
        <w:spacing w:line="480" w:lineRule="auto"/>
        <w:jc w:val="both"/>
        <w:rPr>
          <w:rFonts w:ascii="Times New Roman" w:eastAsia="Times New Roman" w:hAnsi="Times New Roman" w:cs="Times New Roman"/>
        </w:rPr>
      </w:pPr>
      <w:bookmarkStart w:id="25" w:name="_heading=h.17dp8vu" w:colFirst="0" w:colLast="0"/>
      <w:bookmarkEnd w:id="25"/>
      <w:r w:rsidRPr="00CE50D8">
        <w:rPr>
          <w:rFonts w:ascii="Times New Roman" w:eastAsia="Times New Roman" w:hAnsi="Times New Roman" w:cs="Times New Roman"/>
        </w:rPr>
        <w:t>7.</w:t>
      </w:r>
      <w:r w:rsidRPr="00CE50D8">
        <w:rPr>
          <w:rFonts w:ascii="Times New Roman" w:eastAsia="Times New Roman" w:hAnsi="Times New Roman" w:cs="Times New Roman"/>
        </w:rPr>
        <w:tab/>
        <w:t xml:space="preserve">D'Onofrio, G.; Panza, F.; Seripa, D.; Sancarlo, D.; Paris, F.; Cascavilla, L.; Urbano, M.; Gravina, C.; Fontana, A.; Solfrizzi, V.; Pellegrini, F.; Pilotto, A., The APOE polymorphism in Alzheimer's disease patients with neuropsychiatric symptoms and syndromes. </w:t>
      </w:r>
      <w:r w:rsidR="00C419C9" w:rsidRPr="00CE50D8">
        <w:rPr>
          <w:rFonts w:ascii="Times New Roman" w:eastAsia="Times New Roman" w:hAnsi="Times New Roman" w:cs="Times New Roman"/>
          <w:i/>
        </w:rPr>
        <w:t> Int</w:t>
      </w:r>
      <w:r w:rsidR="00AE26FB" w:rsidRPr="00CE50D8">
        <w:rPr>
          <w:rFonts w:ascii="Times New Roman" w:eastAsia="Times New Roman" w:hAnsi="Times New Roman" w:cs="Times New Roman"/>
          <w:i/>
        </w:rPr>
        <w:t>.</w:t>
      </w:r>
      <w:r w:rsidR="00C419C9" w:rsidRPr="00CE50D8">
        <w:rPr>
          <w:rFonts w:ascii="Times New Roman" w:eastAsia="Times New Roman" w:hAnsi="Times New Roman" w:cs="Times New Roman"/>
          <w:i/>
        </w:rPr>
        <w:t> J</w:t>
      </w:r>
      <w:r w:rsidR="00AE26FB" w:rsidRPr="00CE50D8">
        <w:rPr>
          <w:rFonts w:ascii="Times New Roman" w:eastAsia="Times New Roman" w:hAnsi="Times New Roman" w:cs="Times New Roman"/>
          <w:i/>
        </w:rPr>
        <w:t>.</w:t>
      </w:r>
      <w:r w:rsidR="00C419C9" w:rsidRPr="00CE50D8">
        <w:rPr>
          <w:rFonts w:ascii="Times New Roman" w:eastAsia="Times New Roman" w:hAnsi="Times New Roman" w:cs="Times New Roman"/>
          <w:i/>
        </w:rPr>
        <w:t> Geriatr</w:t>
      </w:r>
      <w:r w:rsidR="00AE26FB" w:rsidRPr="00CE50D8">
        <w:rPr>
          <w:rFonts w:ascii="Times New Roman" w:eastAsia="Times New Roman" w:hAnsi="Times New Roman" w:cs="Times New Roman"/>
          <w:i/>
        </w:rPr>
        <w:t>.</w:t>
      </w:r>
      <w:r w:rsidR="00C419C9" w:rsidRPr="00CE50D8">
        <w:rPr>
          <w:rFonts w:ascii="Times New Roman" w:eastAsia="Times New Roman" w:hAnsi="Times New Roman" w:cs="Times New Roman"/>
          <w:i/>
        </w:rPr>
        <w:t xml:space="preserve"> Psychiatry </w:t>
      </w:r>
      <w:r w:rsidRPr="00CE50D8">
        <w:rPr>
          <w:rFonts w:ascii="Times New Roman" w:eastAsia="Times New Roman" w:hAnsi="Times New Roman" w:cs="Times New Roman"/>
          <w:b/>
        </w:rPr>
        <w:t>2011,</w:t>
      </w:r>
      <w:r w:rsidRPr="00CE50D8">
        <w:rPr>
          <w:rFonts w:ascii="Times New Roman" w:eastAsia="Times New Roman" w:hAnsi="Times New Roman" w:cs="Times New Roman"/>
        </w:rPr>
        <w:t xml:space="preserve"> 26, (10), 1062-1070.</w:t>
      </w:r>
    </w:p>
    <w:p w14:paraId="04E8F24E" w14:textId="23EE3A5D" w:rsidR="00221BA9" w:rsidRPr="00CE50D8" w:rsidRDefault="001A0A0E">
      <w:pPr>
        <w:spacing w:line="480" w:lineRule="auto"/>
        <w:jc w:val="both"/>
        <w:rPr>
          <w:rFonts w:ascii="Times New Roman" w:eastAsia="Times New Roman" w:hAnsi="Times New Roman" w:cs="Times New Roman"/>
        </w:rPr>
      </w:pPr>
      <w:bookmarkStart w:id="26" w:name="_heading=h.3rdcrjn" w:colFirst="0" w:colLast="0"/>
      <w:bookmarkEnd w:id="26"/>
      <w:r w:rsidRPr="00CE50D8">
        <w:rPr>
          <w:rFonts w:ascii="Times New Roman" w:eastAsia="Times New Roman" w:hAnsi="Times New Roman" w:cs="Times New Roman"/>
        </w:rPr>
        <w:t>8.</w:t>
      </w:r>
      <w:r w:rsidRPr="00CE50D8">
        <w:rPr>
          <w:rFonts w:ascii="Times New Roman" w:eastAsia="Times New Roman" w:hAnsi="Times New Roman" w:cs="Times New Roman"/>
        </w:rPr>
        <w:tab/>
        <w:t xml:space="preserve">Rogaeva, E.; Meng, Y.; Lee, J. H.; Gu, Y.; Kawarai, T.; Zou, F.; Katayama, T.; Baldwin, C. T.; Cheng, R.; Hasegawa, H.; Chen, F.; Shibata, N.; Lunetta, K. L.; Pardossi-Piquard, R.; Bohm, C.; Wakutani, Y.; Cupples, L. A.; Cuenco, K. T.; Green, R. C.; Pinessi, L.; Rainero, I.; Sorbi, S.; Bruni, A.; Duara, R.; Friedland, R. P.; Inzelberg, R.; Hampe, W.; Bujo, H.; Song, Y.-Q.; Andersen, O. M.; Willnow, T. E.; Graff-Radford, N.; Petersen, R. C.; Dickson, D.; Der, S. </w:t>
      </w:r>
      <w:r w:rsidRPr="00CE50D8">
        <w:rPr>
          <w:rFonts w:ascii="Times New Roman" w:eastAsia="Times New Roman" w:hAnsi="Times New Roman" w:cs="Times New Roman"/>
        </w:rPr>
        <w:lastRenderedPageBreak/>
        <w:t xml:space="preserve">D.; Fraser, P. E.; Schmitt-Ulms, G.; Younkin, S.; Mayeux, R.; Farrer, L. A.; St George-Hyslop, P., The neuronal sortilin-related receptor SORL1 is genetically associated with Alzheimer disease. </w:t>
      </w:r>
      <w:r w:rsidRPr="00CE50D8">
        <w:rPr>
          <w:rFonts w:ascii="Times New Roman" w:eastAsia="Times New Roman" w:hAnsi="Times New Roman" w:cs="Times New Roman"/>
          <w:i/>
        </w:rPr>
        <w:t>Nat</w:t>
      </w:r>
      <w:r w:rsidR="00AE26FB"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Genet</w:t>
      </w:r>
      <w:r w:rsidR="00AE26FB"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2007,</w:t>
      </w:r>
      <w:r w:rsidRPr="00CE50D8">
        <w:rPr>
          <w:rFonts w:ascii="Times New Roman" w:eastAsia="Times New Roman" w:hAnsi="Times New Roman" w:cs="Times New Roman"/>
        </w:rPr>
        <w:t xml:space="preserve"> 39, (2), 168-177.</w:t>
      </w:r>
    </w:p>
    <w:p w14:paraId="77A454C7" w14:textId="00819364" w:rsidR="00221BA9" w:rsidRPr="00CE50D8" w:rsidRDefault="001A0A0E">
      <w:pPr>
        <w:spacing w:line="480" w:lineRule="auto"/>
        <w:jc w:val="both"/>
        <w:rPr>
          <w:rFonts w:ascii="Times New Roman" w:eastAsia="Times New Roman" w:hAnsi="Times New Roman" w:cs="Times New Roman"/>
        </w:rPr>
      </w:pPr>
      <w:bookmarkStart w:id="27" w:name="_heading=h.26in1rg" w:colFirst="0" w:colLast="0"/>
      <w:bookmarkEnd w:id="27"/>
      <w:r w:rsidRPr="00CE50D8">
        <w:rPr>
          <w:rFonts w:ascii="Times New Roman" w:eastAsia="Times New Roman" w:hAnsi="Times New Roman" w:cs="Times New Roman"/>
        </w:rPr>
        <w:t>9.</w:t>
      </w:r>
      <w:r w:rsidRPr="00CE50D8">
        <w:rPr>
          <w:rFonts w:ascii="Times New Roman" w:eastAsia="Times New Roman" w:hAnsi="Times New Roman" w:cs="Times New Roman"/>
        </w:rPr>
        <w:tab/>
      </w:r>
      <w:r w:rsidR="0088718F" w:rsidRPr="00CE50D8">
        <w:rPr>
          <w:rFonts w:ascii="Times New Roman" w:eastAsia="Times New Roman" w:hAnsi="Times New Roman" w:cs="Times New Roman"/>
        </w:rPr>
        <w:t>Seshadri, S.; Fitzpatrick, A. L.; Ikram, M. A.; DeStefano, A. L.; Gudnason, V.; Boada, M.; Bis, J. C.; Smith, A. V.; Carassquillo, M. M.; Lambert, J. C; Harold, D.; Schrijvers, E. M</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Ramirez-Lorca</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R</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Debette</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S</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Longstreth</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W</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T</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Jr</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Janssens</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A</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C</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Pankratz</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V</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S</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Dartigues</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J</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F</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Hollingworth</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P</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Aspelund</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T</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Hernandez</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I</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Beiser</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A</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Kuller</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L</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H</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Koudstaal</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P</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J</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Dickson</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D</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W</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Tzourio</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C</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Abraham</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R</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Antunez</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C</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Du</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Y</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Rotter</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J</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I</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Aulchenko</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Y</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S</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Harris</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T</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B</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Petersen</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R</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C</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Berr</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C</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Owen</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M</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J</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Lopez-Arrieta</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J</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Varadarajan</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B</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N</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Becker</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J</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T</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Rivadeneira</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F</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Nalls</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M</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A</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Graff-Radford</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N</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R</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Campion</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D</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Auerbach</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S</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Rice</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K</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Hofman</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A</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Jonsson</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P</w:t>
      </w:r>
      <w:r w:rsidR="00BB538E" w:rsidRPr="00CE50D8">
        <w:rPr>
          <w:rFonts w:ascii="Times New Roman" w:eastAsia="Times New Roman" w:hAnsi="Times New Roman" w:cs="Times New Roman"/>
        </w:rPr>
        <w:t>. V.;</w:t>
      </w:r>
      <w:r w:rsidR="0088718F" w:rsidRPr="00CE50D8">
        <w:rPr>
          <w:rFonts w:ascii="Times New Roman" w:eastAsia="Times New Roman" w:hAnsi="Times New Roman" w:cs="Times New Roman"/>
        </w:rPr>
        <w:t xml:space="preserve"> Schmidt</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H</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Lathrop</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M</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Mosley</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T</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H</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Au</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R</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Psaty</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B</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M</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Uitterlinden</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A</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G</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Farrer</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L</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A</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Lumley</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T</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Ruiz</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A</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Williams</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J</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Amouyel</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P</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Younkin</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S</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G</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Wolf</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P</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A</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Launer</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L</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J</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Lopez</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O</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L</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van Duijn</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C</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M</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Breteler</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M</w:t>
      </w:r>
      <w:r w:rsidR="00BB538E" w:rsidRPr="00CE50D8">
        <w:rPr>
          <w:rFonts w:ascii="Times New Roman" w:eastAsia="Times New Roman" w:hAnsi="Times New Roman" w:cs="Times New Roman"/>
        </w:rPr>
        <w:t xml:space="preserve">. </w:t>
      </w:r>
      <w:r w:rsidR="0088718F" w:rsidRPr="00CE50D8">
        <w:rPr>
          <w:rFonts w:ascii="Times New Roman" w:eastAsia="Times New Roman" w:hAnsi="Times New Roman" w:cs="Times New Roman"/>
        </w:rPr>
        <w:t>M</w:t>
      </w:r>
      <w:r w:rsidR="00BB538E" w:rsidRPr="00CE50D8">
        <w:rPr>
          <w:rFonts w:ascii="Times New Roman" w:eastAsia="Times New Roman" w:hAnsi="Times New Roman" w:cs="Times New Roman"/>
        </w:rPr>
        <w:t>.;</w:t>
      </w:r>
      <w:r w:rsidR="0088718F" w:rsidRPr="00CE50D8">
        <w:rPr>
          <w:rFonts w:ascii="Times New Roman" w:eastAsia="Times New Roman" w:hAnsi="Times New Roman" w:cs="Times New Roman"/>
        </w:rPr>
        <w:t xml:space="preserve"> CHARGE Consortium; GERAD1 Consortium; EADI1 Consortium. </w:t>
      </w:r>
      <w:r w:rsidRPr="00CE50D8">
        <w:rPr>
          <w:rFonts w:ascii="Times New Roman" w:eastAsia="Times New Roman" w:hAnsi="Times New Roman" w:cs="Times New Roman"/>
        </w:rPr>
        <w:t xml:space="preserve">Genome-wide analysis of genetic loci associated with alzheimer disease. </w:t>
      </w:r>
      <w:r w:rsidR="00F25794" w:rsidRPr="00CE50D8">
        <w:rPr>
          <w:rFonts w:ascii="Times New Roman" w:eastAsia="Times New Roman" w:hAnsi="Times New Roman" w:cs="Times New Roman"/>
          <w:i/>
        </w:rPr>
        <w:t>J. Am. Med. Assoc.</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2010,</w:t>
      </w:r>
      <w:r w:rsidRPr="00CE50D8">
        <w:rPr>
          <w:rFonts w:ascii="Times New Roman" w:eastAsia="Times New Roman" w:hAnsi="Times New Roman" w:cs="Times New Roman"/>
        </w:rPr>
        <w:t xml:space="preserve"> 303, (18), 1832-1840.</w:t>
      </w:r>
    </w:p>
    <w:p w14:paraId="76554A34" w14:textId="4483415C" w:rsidR="00221BA9" w:rsidRPr="00CE50D8" w:rsidRDefault="001A0A0E">
      <w:pPr>
        <w:spacing w:line="480" w:lineRule="auto"/>
        <w:jc w:val="both"/>
        <w:rPr>
          <w:rFonts w:ascii="Times New Roman" w:eastAsia="Times New Roman" w:hAnsi="Times New Roman" w:cs="Times New Roman"/>
        </w:rPr>
      </w:pPr>
      <w:bookmarkStart w:id="28" w:name="_heading=h.lnxbz9" w:colFirst="0" w:colLast="0"/>
      <w:bookmarkEnd w:id="28"/>
      <w:r w:rsidRPr="00CE50D8">
        <w:rPr>
          <w:rFonts w:ascii="Times New Roman" w:eastAsia="Times New Roman" w:hAnsi="Times New Roman" w:cs="Times New Roman"/>
        </w:rPr>
        <w:t>10.</w:t>
      </w:r>
      <w:r w:rsidRPr="00CE50D8">
        <w:rPr>
          <w:rFonts w:ascii="Times New Roman" w:eastAsia="Times New Roman" w:hAnsi="Times New Roman" w:cs="Times New Roman"/>
        </w:rPr>
        <w:tab/>
        <w:t xml:space="preserve">Suh, Y.-H.; Checler, F., Amyloid Precursor Protein, Presenilins, and α-Synuclein: Molecular Pathogenesis and Pharmacological Applications in Alzheimer's Disease. </w:t>
      </w:r>
      <w:r w:rsidRPr="00CE50D8">
        <w:rPr>
          <w:rFonts w:ascii="Times New Roman" w:eastAsia="Times New Roman" w:hAnsi="Times New Roman" w:cs="Times New Roman"/>
          <w:i/>
        </w:rPr>
        <w:t>Pharmacol</w:t>
      </w:r>
      <w:r w:rsidR="00F25794" w:rsidRPr="00CE50D8">
        <w:rPr>
          <w:rFonts w:ascii="Times New Roman" w:eastAsia="Times New Roman" w:hAnsi="Times New Roman" w:cs="Times New Roman"/>
          <w:i/>
        </w:rPr>
        <w:t xml:space="preserve">. </w:t>
      </w:r>
      <w:r w:rsidRPr="00CE50D8">
        <w:rPr>
          <w:rFonts w:ascii="Times New Roman" w:eastAsia="Times New Roman" w:hAnsi="Times New Roman" w:cs="Times New Roman"/>
          <w:i/>
        </w:rPr>
        <w:t>Rev</w:t>
      </w:r>
      <w:r w:rsidR="00F25794"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2002,</w:t>
      </w:r>
      <w:r w:rsidRPr="00CE50D8">
        <w:rPr>
          <w:rFonts w:ascii="Times New Roman" w:eastAsia="Times New Roman" w:hAnsi="Times New Roman" w:cs="Times New Roman"/>
        </w:rPr>
        <w:t xml:space="preserve"> 54, (3), 469-525.</w:t>
      </w:r>
    </w:p>
    <w:p w14:paraId="410CAD18" w14:textId="18005CC0" w:rsidR="00221BA9" w:rsidRPr="00CE50D8" w:rsidRDefault="001A0A0E">
      <w:pPr>
        <w:spacing w:line="480" w:lineRule="auto"/>
        <w:jc w:val="both"/>
        <w:rPr>
          <w:rFonts w:ascii="Times New Roman" w:eastAsia="Times New Roman" w:hAnsi="Times New Roman" w:cs="Times New Roman"/>
        </w:rPr>
      </w:pPr>
      <w:bookmarkStart w:id="29" w:name="_heading=h.35nkun2" w:colFirst="0" w:colLast="0"/>
      <w:bookmarkEnd w:id="29"/>
      <w:r w:rsidRPr="00CE50D8">
        <w:rPr>
          <w:rFonts w:ascii="Times New Roman" w:eastAsia="Times New Roman" w:hAnsi="Times New Roman" w:cs="Times New Roman"/>
        </w:rPr>
        <w:t>11.</w:t>
      </w:r>
      <w:r w:rsidRPr="00CE50D8">
        <w:rPr>
          <w:rFonts w:ascii="Times New Roman" w:eastAsia="Times New Roman" w:hAnsi="Times New Roman" w:cs="Times New Roman"/>
        </w:rPr>
        <w:tab/>
        <w:t xml:space="preserve">Karran, E.; Mercken, M.; De Strooper, B., The amyloid cascade hypothesis for Alzheimer's disease: an appraisal for the development of therapeutics. </w:t>
      </w:r>
      <w:r w:rsidRPr="00CE50D8">
        <w:rPr>
          <w:rFonts w:ascii="Times New Roman" w:eastAsia="Times New Roman" w:hAnsi="Times New Roman" w:cs="Times New Roman"/>
          <w:i/>
        </w:rPr>
        <w:t>Nat</w:t>
      </w:r>
      <w:r w:rsidR="00F25794"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Rev</w:t>
      </w:r>
      <w:r w:rsidR="00F25794"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Drug Discov</w:t>
      </w:r>
      <w:r w:rsidR="00F25794"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2011,</w:t>
      </w:r>
      <w:r w:rsidRPr="00CE50D8">
        <w:rPr>
          <w:rFonts w:ascii="Times New Roman" w:eastAsia="Times New Roman" w:hAnsi="Times New Roman" w:cs="Times New Roman"/>
        </w:rPr>
        <w:t xml:space="preserve"> 10.</w:t>
      </w:r>
    </w:p>
    <w:p w14:paraId="1E594378" w14:textId="77777777" w:rsidR="00221BA9" w:rsidRPr="00CE50D8" w:rsidRDefault="001A0A0E">
      <w:pPr>
        <w:spacing w:line="480" w:lineRule="auto"/>
        <w:jc w:val="both"/>
        <w:rPr>
          <w:rFonts w:ascii="Times New Roman" w:eastAsia="Times New Roman" w:hAnsi="Times New Roman" w:cs="Times New Roman"/>
        </w:rPr>
      </w:pPr>
      <w:bookmarkStart w:id="30" w:name="_heading=h.1ksv4uv" w:colFirst="0" w:colLast="0"/>
      <w:bookmarkEnd w:id="30"/>
      <w:r w:rsidRPr="00CE50D8">
        <w:rPr>
          <w:rFonts w:ascii="Times New Roman" w:eastAsia="Times New Roman" w:hAnsi="Times New Roman" w:cs="Times New Roman"/>
        </w:rPr>
        <w:t>12.</w:t>
      </w:r>
      <w:r w:rsidRPr="00CE50D8">
        <w:rPr>
          <w:rFonts w:ascii="Times New Roman" w:eastAsia="Times New Roman" w:hAnsi="Times New Roman" w:cs="Times New Roman"/>
        </w:rPr>
        <w:tab/>
        <w:t xml:space="preserve">Noble, W.; Olm, V.; Takata, K.; Casey, E.; Mary, O.; Meyerson, J.; Gaynor, K.; LaFrancois, J.; Wang, L.; Kondo, T.; Davies, P.; Burns, M.; Veeranna; Nixon, R.; Dickson, D.; Matsuoka, Y.; Ahlijanian, M.; Lau, L. F.; Duff, K., Cdk5 is a key factor in tau aggregation and </w:t>
      </w:r>
      <w:r w:rsidRPr="00CE50D8">
        <w:rPr>
          <w:rFonts w:ascii="Times New Roman" w:eastAsia="Times New Roman" w:hAnsi="Times New Roman" w:cs="Times New Roman"/>
        </w:rPr>
        <w:lastRenderedPageBreak/>
        <w:t xml:space="preserve">tangle formation in vivo. </w:t>
      </w:r>
      <w:r w:rsidRPr="00CE50D8">
        <w:rPr>
          <w:rFonts w:ascii="Times New Roman" w:eastAsia="Times New Roman" w:hAnsi="Times New Roman" w:cs="Times New Roman"/>
          <w:i/>
        </w:rPr>
        <w:t xml:space="preserve">Neuron </w:t>
      </w:r>
      <w:r w:rsidRPr="00CE50D8">
        <w:rPr>
          <w:rFonts w:ascii="Times New Roman" w:eastAsia="Times New Roman" w:hAnsi="Times New Roman" w:cs="Times New Roman"/>
          <w:b/>
        </w:rPr>
        <w:t>2003,</w:t>
      </w:r>
      <w:r w:rsidRPr="00CE50D8">
        <w:rPr>
          <w:rFonts w:ascii="Times New Roman" w:eastAsia="Times New Roman" w:hAnsi="Times New Roman" w:cs="Times New Roman"/>
        </w:rPr>
        <w:t xml:space="preserve"> 38.</w:t>
      </w:r>
    </w:p>
    <w:p w14:paraId="617E0C96" w14:textId="43DFFF70" w:rsidR="00221BA9" w:rsidRPr="00CE50D8" w:rsidRDefault="001A0A0E">
      <w:pPr>
        <w:spacing w:line="480" w:lineRule="auto"/>
        <w:jc w:val="both"/>
        <w:rPr>
          <w:rFonts w:ascii="Times New Roman" w:eastAsia="Times New Roman" w:hAnsi="Times New Roman" w:cs="Times New Roman"/>
        </w:rPr>
      </w:pPr>
      <w:bookmarkStart w:id="31" w:name="_heading=h.44sinio" w:colFirst="0" w:colLast="0"/>
      <w:bookmarkEnd w:id="31"/>
      <w:r w:rsidRPr="00CE50D8">
        <w:rPr>
          <w:rFonts w:ascii="Times New Roman" w:eastAsia="Times New Roman" w:hAnsi="Times New Roman" w:cs="Times New Roman"/>
        </w:rPr>
        <w:t>13.</w:t>
      </w:r>
      <w:r w:rsidRPr="00CE50D8">
        <w:rPr>
          <w:rFonts w:ascii="Times New Roman" w:eastAsia="Times New Roman" w:hAnsi="Times New Roman" w:cs="Times New Roman"/>
        </w:rPr>
        <w:tab/>
        <w:t xml:space="preserve">Götz, J.; Schild, A.; Hoerndli, F.; Pennanen, L., Amyloid-induced neurofibrillary tangle formation in Alzheimer's disease: insight from transgenic mouse and tissue-culture models. </w:t>
      </w:r>
      <w:r w:rsidR="00526EEF" w:rsidRPr="00CE50D8">
        <w:rPr>
          <w:rFonts w:ascii="Times New Roman" w:eastAsia="Times New Roman" w:hAnsi="Times New Roman" w:cs="Times New Roman"/>
          <w:i/>
        </w:rPr>
        <w:t>Int. J. Dev. Neurosci.</w:t>
      </w:r>
      <w:r w:rsidR="00526EEF"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2004,</w:t>
      </w:r>
      <w:r w:rsidRPr="00CE50D8">
        <w:rPr>
          <w:rFonts w:ascii="Times New Roman" w:eastAsia="Times New Roman" w:hAnsi="Times New Roman" w:cs="Times New Roman"/>
        </w:rPr>
        <w:t xml:space="preserve"> 22, (7), 453-465.</w:t>
      </w:r>
    </w:p>
    <w:p w14:paraId="3BB5C6F6" w14:textId="6D45DF0C" w:rsidR="00221BA9" w:rsidRPr="00CE50D8" w:rsidRDefault="001A0A0E">
      <w:pPr>
        <w:spacing w:line="480" w:lineRule="auto"/>
        <w:jc w:val="both"/>
        <w:rPr>
          <w:rFonts w:ascii="Times New Roman" w:eastAsia="Times New Roman" w:hAnsi="Times New Roman" w:cs="Times New Roman"/>
        </w:rPr>
      </w:pPr>
      <w:bookmarkStart w:id="32" w:name="_heading=h.2jxsxqh" w:colFirst="0" w:colLast="0"/>
      <w:bookmarkEnd w:id="32"/>
      <w:r w:rsidRPr="00CE50D8">
        <w:rPr>
          <w:rFonts w:ascii="Times New Roman" w:eastAsia="Times New Roman" w:hAnsi="Times New Roman" w:cs="Times New Roman"/>
        </w:rPr>
        <w:t>14.</w:t>
      </w:r>
      <w:r w:rsidRPr="00CE50D8">
        <w:rPr>
          <w:rFonts w:ascii="Times New Roman" w:eastAsia="Times New Roman" w:hAnsi="Times New Roman" w:cs="Times New Roman"/>
        </w:rPr>
        <w:tab/>
        <w:t xml:space="preserve">Boutajangout, A.; Quartermain, D.; Sigurdsson, E. M., Immunotherapy targeting pathological tau prevents cognitive decline in a new tangle mouse model. </w:t>
      </w:r>
      <w:r w:rsidRPr="00CE50D8">
        <w:rPr>
          <w:rFonts w:ascii="Times New Roman" w:eastAsia="Times New Roman" w:hAnsi="Times New Roman" w:cs="Times New Roman"/>
          <w:i/>
        </w:rPr>
        <w:t>J</w:t>
      </w:r>
      <w:r w:rsidR="00526EEF"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Neurosci</w:t>
      </w:r>
      <w:r w:rsidR="00526EEF"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2010,</w:t>
      </w:r>
      <w:r w:rsidRPr="00CE50D8">
        <w:rPr>
          <w:rFonts w:ascii="Times New Roman" w:eastAsia="Times New Roman" w:hAnsi="Times New Roman" w:cs="Times New Roman"/>
        </w:rPr>
        <w:t xml:space="preserve"> 30.</w:t>
      </w:r>
    </w:p>
    <w:p w14:paraId="479E977F" w14:textId="63A8A04D" w:rsidR="00221BA9" w:rsidRPr="00CE50D8" w:rsidRDefault="001A0A0E">
      <w:pPr>
        <w:spacing w:line="480" w:lineRule="auto"/>
        <w:jc w:val="both"/>
        <w:rPr>
          <w:rFonts w:ascii="Times New Roman" w:eastAsia="Times New Roman" w:hAnsi="Times New Roman" w:cs="Times New Roman"/>
        </w:rPr>
      </w:pPr>
      <w:bookmarkStart w:id="33" w:name="_heading=h.z337ya" w:colFirst="0" w:colLast="0"/>
      <w:bookmarkEnd w:id="33"/>
      <w:r w:rsidRPr="00CE50D8">
        <w:rPr>
          <w:rFonts w:ascii="Times New Roman" w:eastAsia="Times New Roman" w:hAnsi="Times New Roman" w:cs="Times New Roman"/>
        </w:rPr>
        <w:t>15.</w:t>
      </w:r>
      <w:r w:rsidRPr="00CE50D8">
        <w:rPr>
          <w:rFonts w:ascii="Times New Roman" w:eastAsia="Times New Roman" w:hAnsi="Times New Roman" w:cs="Times New Roman"/>
        </w:rPr>
        <w:tab/>
        <w:t xml:space="preserve">Asuni, A. A.; Boutajangout, A.; Quartermain, D.; Sigurdsson, E. M., Immunotherapy targeting pathological tau conformers in a tangle mouse model reduces brain pathology with associated functional improvements. </w:t>
      </w:r>
      <w:r w:rsidRPr="00CE50D8">
        <w:rPr>
          <w:rFonts w:ascii="Times New Roman" w:eastAsia="Times New Roman" w:hAnsi="Times New Roman" w:cs="Times New Roman"/>
          <w:i/>
        </w:rPr>
        <w:t>J</w:t>
      </w:r>
      <w:r w:rsidR="00526EEF"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Neurosci</w:t>
      </w:r>
      <w:r w:rsidR="00526EEF"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2007,</w:t>
      </w:r>
      <w:r w:rsidRPr="00CE50D8">
        <w:rPr>
          <w:rFonts w:ascii="Times New Roman" w:eastAsia="Times New Roman" w:hAnsi="Times New Roman" w:cs="Times New Roman"/>
        </w:rPr>
        <w:t xml:space="preserve"> 27.</w:t>
      </w:r>
    </w:p>
    <w:p w14:paraId="2A26AB98" w14:textId="243B1494" w:rsidR="00221BA9" w:rsidRPr="00CE50D8" w:rsidRDefault="001A0A0E">
      <w:pPr>
        <w:spacing w:line="480" w:lineRule="auto"/>
        <w:jc w:val="both"/>
        <w:rPr>
          <w:rFonts w:ascii="Times New Roman" w:eastAsia="Times New Roman" w:hAnsi="Times New Roman" w:cs="Times New Roman"/>
        </w:rPr>
      </w:pPr>
      <w:bookmarkStart w:id="34" w:name="_heading=h.3j2qqm3" w:colFirst="0" w:colLast="0"/>
      <w:bookmarkEnd w:id="34"/>
      <w:r w:rsidRPr="00CE50D8">
        <w:rPr>
          <w:rFonts w:ascii="Times New Roman" w:eastAsia="Times New Roman" w:hAnsi="Times New Roman" w:cs="Times New Roman"/>
        </w:rPr>
        <w:t>16.</w:t>
      </w:r>
      <w:r w:rsidRPr="00CE50D8">
        <w:rPr>
          <w:rFonts w:ascii="Times New Roman" w:eastAsia="Times New Roman" w:hAnsi="Times New Roman" w:cs="Times New Roman"/>
        </w:rPr>
        <w:tab/>
        <w:t xml:space="preserve">Sims, N. R.; Bowen, D. M.; Allen, S. J.; Smith, C. C. T.; Neary, D.; Thomas, D. J.; Davison, A. N., Presynaptic Cholinergic Dysfunction in Patients with Dementia. </w:t>
      </w:r>
      <w:r w:rsidRPr="00CE50D8">
        <w:rPr>
          <w:rFonts w:ascii="Times New Roman" w:eastAsia="Times New Roman" w:hAnsi="Times New Roman" w:cs="Times New Roman"/>
          <w:i/>
        </w:rPr>
        <w:t>J</w:t>
      </w:r>
      <w:r w:rsidR="00526EEF" w:rsidRPr="00CE50D8">
        <w:rPr>
          <w:rFonts w:ascii="Times New Roman" w:eastAsia="Times New Roman" w:hAnsi="Times New Roman" w:cs="Times New Roman"/>
          <w:i/>
        </w:rPr>
        <w:t xml:space="preserve">. </w:t>
      </w:r>
      <w:r w:rsidRPr="00CE50D8">
        <w:rPr>
          <w:rFonts w:ascii="Times New Roman" w:eastAsia="Times New Roman" w:hAnsi="Times New Roman" w:cs="Times New Roman"/>
          <w:i/>
        </w:rPr>
        <w:t>Neurochem</w:t>
      </w:r>
      <w:r w:rsidR="00526EEF"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1983,</w:t>
      </w:r>
      <w:r w:rsidRPr="00CE50D8">
        <w:rPr>
          <w:rFonts w:ascii="Times New Roman" w:eastAsia="Times New Roman" w:hAnsi="Times New Roman" w:cs="Times New Roman"/>
        </w:rPr>
        <w:t xml:space="preserve"> 40, (2), 503-509.</w:t>
      </w:r>
    </w:p>
    <w:p w14:paraId="2891B27F" w14:textId="16C9FC9B" w:rsidR="00221BA9" w:rsidRPr="00CE50D8" w:rsidRDefault="001A0A0E">
      <w:pPr>
        <w:spacing w:line="480" w:lineRule="auto"/>
        <w:jc w:val="both"/>
        <w:rPr>
          <w:rFonts w:ascii="Times New Roman" w:eastAsia="Times New Roman" w:hAnsi="Times New Roman" w:cs="Times New Roman"/>
        </w:rPr>
      </w:pPr>
      <w:bookmarkStart w:id="35" w:name="_heading=h.1y810tw" w:colFirst="0" w:colLast="0"/>
      <w:bookmarkEnd w:id="35"/>
      <w:r w:rsidRPr="00CE50D8">
        <w:rPr>
          <w:rFonts w:ascii="Times New Roman" w:eastAsia="Times New Roman" w:hAnsi="Times New Roman" w:cs="Times New Roman"/>
        </w:rPr>
        <w:t>17.</w:t>
      </w:r>
      <w:r w:rsidRPr="00CE50D8">
        <w:rPr>
          <w:rFonts w:ascii="Times New Roman" w:eastAsia="Times New Roman" w:hAnsi="Times New Roman" w:cs="Times New Roman"/>
        </w:rPr>
        <w:tab/>
        <w:t xml:space="preserve">Maurer, S. V.; Williams, C. L., The Cholinergic System Modulates Memory and Hippocampal Plasticity via Its Interactions with Non-Neuronal Cells. </w:t>
      </w:r>
      <w:r w:rsidR="00526EEF" w:rsidRPr="00CE50D8">
        <w:rPr>
          <w:rFonts w:ascii="Times New Roman" w:eastAsia="Times New Roman" w:hAnsi="Times New Roman" w:cs="Times New Roman"/>
          <w:i/>
        </w:rPr>
        <w:t xml:space="preserve">Front. Immunol. </w:t>
      </w:r>
      <w:r w:rsidRPr="00CE50D8">
        <w:rPr>
          <w:rFonts w:ascii="Times New Roman" w:eastAsia="Times New Roman" w:hAnsi="Times New Roman" w:cs="Times New Roman"/>
          <w:b/>
        </w:rPr>
        <w:t>2017,</w:t>
      </w:r>
      <w:r w:rsidRPr="00CE50D8">
        <w:rPr>
          <w:rFonts w:ascii="Times New Roman" w:eastAsia="Times New Roman" w:hAnsi="Times New Roman" w:cs="Times New Roman"/>
        </w:rPr>
        <w:t xml:space="preserve"> 8, 1489.</w:t>
      </w:r>
    </w:p>
    <w:p w14:paraId="78798887" w14:textId="77777777" w:rsidR="00221BA9" w:rsidRPr="00CE50D8" w:rsidRDefault="001A0A0E">
      <w:pPr>
        <w:spacing w:line="480" w:lineRule="auto"/>
        <w:jc w:val="both"/>
        <w:rPr>
          <w:rFonts w:ascii="Times New Roman" w:eastAsia="Times New Roman" w:hAnsi="Times New Roman" w:cs="Times New Roman"/>
        </w:rPr>
      </w:pPr>
      <w:bookmarkStart w:id="36" w:name="_heading=h.4i7ojhp" w:colFirst="0" w:colLast="0"/>
      <w:bookmarkEnd w:id="36"/>
      <w:r w:rsidRPr="00CE50D8">
        <w:rPr>
          <w:rFonts w:ascii="Times New Roman" w:eastAsia="Times New Roman" w:hAnsi="Times New Roman" w:cs="Times New Roman"/>
        </w:rPr>
        <w:t>18.</w:t>
      </w:r>
      <w:r w:rsidRPr="00CE50D8">
        <w:rPr>
          <w:rFonts w:ascii="Times New Roman" w:eastAsia="Times New Roman" w:hAnsi="Times New Roman" w:cs="Times New Roman"/>
        </w:rPr>
        <w:tab/>
        <w:t xml:space="preserve">Inestrosa, N. C.; Alvarez, A.; Pérez, C. A.; Moreno, R. D.; Vicente, M.; Linker, C.; Casanueva, O. I.; Soto, C.; Garrido, J., Acetylcholinesterase Accelerates Assembly of Amyloid-β-Peptides into Alzheimer's Fibrils: Possible Role of the Peripheral Site of the Enzyme. </w:t>
      </w:r>
      <w:r w:rsidRPr="00CE50D8">
        <w:rPr>
          <w:rFonts w:ascii="Times New Roman" w:eastAsia="Times New Roman" w:hAnsi="Times New Roman" w:cs="Times New Roman"/>
          <w:i/>
        </w:rPr>
        <w:t xml:space="preserve">Neuron </w:t>
      </w:r>
      <w:r w:rsidRPr="00CE50D8">
        <w:rPr>
          <w:rFonts w:ascii="Times New Roman" w:eastAsia="Times New Roman" w:hAnsi="Times New Roman" w:cs="Times New Roman"/>
          <w:b/>
        </w:rPr>
        <w:t>1996,</w:t>
      </w:r>
      <w:r w:rsidRPr="00CE50D8">
        <w:rPr>
          <w:rFonts w:ascii="Times New Roman" w:eastAsia="Times New Roman" w:hAnsi="Times New Roman" w:cs="Times New Roman"/>
        </w:rPr>
        <w:t xml:space="preserve"> 16, (4), 881-891.</w:t>
      </w:r>
    </w:p>
    <w:p w14:paraId="69778D70" w14:textId="77777777" w:rsidR="00221BA9" w:rsidRPr="00CE50D8" w:rsidRDefault="001A0A0E">
      <w:pPr>
        <w:spacing w:line="480" w:lineRule="auto"/>
        <w:jc w:val="both"/>
        <w:rPr>
          <w:rFonts w:ascii="Times New Roman" w:eastAsia="Times New Roman" w:hAnsi="Times New Roman" w:cs="Times New Roman"/>
        </w:rPr>
      </w:pPr>
      <w:bookmarkStart w:id="37" w:name="_heading=h.2xcytpi" w:colFirst="0" w:colLast="0"/>
      <w:bookmarkEnd w:id="37"/>
      <w:r w:rsidRPr="00CE50D8">
        <w:rPr>
          <w:rFonts w:ascii="Times New Roman" w:eastAsia="Times New Roman" w:hAnsi="Times New Roman" w:cs="Times New Roman"/>
        </w:rPr>
        <w:t>19.</w:t>
      </w:r>
      <w:r w:rsidRPr="00CE50D8">
        <w:rPr>
          <w:rFonts w:ascii="Times New Roman" w:eastAsia="Times New Roman" w:hAnsi="Times New Roman" w:cs="Times New Roman"/>
        </w:rPr>
        <w:tab/>
        <w:t xml:space="preserve">Geula, C.; Mesulam, M. M., Cholinergic Systems and related neuropathological predilection partners in AD. In </w:t>
      </w:r>
      <w:r w:rsidRPr="00CE50D8">
        <w:rPr>
          <w:rFonts w:ascii="Times New Roman" w:eastAsia="Times New Roman" w:hAnsi="Times New Roman" w:cs="Times New Roman"/>
          <w:i/>
        </w:rPr>
        <w:t>Alzheimer Disease</w:t>
      </w:r>
      <w:r w:rsidRPr="00CE50D8">
        <w:rPr>
          <w:rFonts w:ascii="Times New Roman" w:eastAsia="Times New Roman" w:hAnsi="Times New Roman" w:cs="Times New Roman"/>
        </w:rPr>
        <w:t>, Raven Press: New York, 1993.</w:t>
      </w:r>
    </w:p>
    <w:p w14:paraId="2A79FF32" w14:textId="6F9E5842" w:rsidR="00221BA9" w:rsidRPr="00CE50D8" w:rsidRDefault="001A0A0E">
      <w:pPr>
        <w:spacing w:line="480" w:lineRule="auto"/>
        <w:jc w:val="both"/>
        <w:rPr>
          <w:rFonts w:ascii="Times New Roman" w:eastAsia="Times New Roman" w:hAnsi="Times New Roman" w:cs="Times New Roman"/>
        </w:rPr>
      </w:pPr>
      <w:bookmarkStart w:id="38" w:name="_heading=h.1ci93xb" w:colFirst="0" w:colLast="0"/>
      <w:bookmarkEnd w:id="38"/>
      <w:r w:rsidRPr="00CE50D8">
        <w:rPr>
          <w:rFonts w:ascii="Times New Roman" w:eastAsia="Times New Roman" w:hAnsi="Times New Roman" w:cs="Times New Roman"/>
        </w:rPr>
        <w:t>20.</w:t>
      </w:r>
      <w:r w:rsidRPr="00CE50D8">
        <w:rPr>
          <w:rFonts w:ascii="Times New Roman" w:eastAsia="Times New Roman" w:hAnsi="Times New Roman" w:cs="Times New Roman"/>
        </w:rPr>
        <w:tab/>
        <w:t xml:space="preserve">Francis, P. T.; Palmer, A. M.; Snape, M.; Wilcock, G. K., The cholinergic hypothesis of Alzheimer’s disease: a review of progress. </w:t>
      </w:r>
      <w:r w:rsidR="001D17CE" w:rsidRPr="00CE50D8">
        <w:rPr>
          <w:rFonts w:ascii="Times New Roman" w:eastAsia="Times New Roman" w:hAnsi="Times New Roman" w:cs="Times New Roman"/>
          <w:i/>
        </w:rPr>
        <w:t>J. Neurol., Neurosurg. Psychiatry</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1999,</w:t>
      </w:r>
      <w:r w:rsidRPr="00CE50D8">
        <w:rPr>
          <w:rFonts w:ascii="Times New Roman" w:eastAsia="Times New Roman" w:hAnsi="Times New Roman" w:cs="Times New Roman"/>
        </w:rPr>
        <w:t xml:space="preserve"> 66, (2), 137.</w:t>
      </w:r>
    </w:p>
    <w:p w14:paraId="253FDE28" w14:textId="4D300318" w:rsidR="00221BA9" w:rsidRPr="00CE50D8" w:rsidRDefault="001A0A0E">
      <w:pPr>
        <w:spacing w:line="480" w:lineRule="auto"/>
        <w:jc w:val="both"/>
        <w:rPr>
          <w:rFonts w:ascii="Times New Roman" w:eastAsia="Times New Roman" w:hAnsi="Times New Roman" w:cs="Times New Roman"/>
        </w:rPr>
      </w:pPr>
      <w:bookmarkStart w:id="39" w:name="_heading=h.3whwml4" w:colFirst="0" w:colLast="0"/>
      <w:bookmarkEnd w:id="39"/>
      <w:r w:rsidRPr="00CE50D8">
        <w:rPr>
          <w:rFonts w:ascii="Times New Roman" w:eastAsia="Times New Roman" w:hAnsi="Times New Roman" w:cs="Times New Roman"/>
        </w:rPr>
        <w:t>21.</w:t>
      </w:r>
      <w:r w:rsidRPr="00CE50D8">
        <w:rPr>
          <w:rFonts w:ascii="Times New Roman" w:eastAsia="Times New Roman" w:hAnsi="Times New Roman" w:cs="Times New Roman"/>
        </w:rPr>
        <w:tab/>
        <w:t xml:space="preserve">Varadarajan, S.; Yatin, S.; Aksenova, M.; Butterfield, D. A., Review: Alzheimer's </w:t>
      </w:r>
      <w:r w:rsidRPr="00CE50D8">
        <w:rPr>
          <w:rFonts w:ascii="Times New Roman" w:eastAsia="Times New Roman" w:hAnsi="Times New Roman" w:cs="Times New Roman"/>
        </w:rPr>
        <w:lastRenderedPageBreak/>
        <w:t xml:space="preserve">Amyloid β-Peptide-Associated Free Radical Oxidative Stress and Neurotoxicity. </w:t>
      </w:r>
      <w:r w:rsidR="00873B34" w:rsidRPr="00CE50D8">
        <w:rPr>
          <w:rFonts w:ascii="Times New Roman" w:eastAsia="Times New Roman" w:hAnsi="Times New Roman" w:cs="Times New Roman"/>
          <w:i/>
        </w:rPr>
        <w:tab/>
        <w:t>J. Struct. Biol.</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2000,</w:t>
      </w:r>
      <w:r w:rsidRPr="00CE50D8">
        <w:rPr>
          <w:rFonts w:ascii="Times New Roman" w:eastAsia="Times New Roman" w:hAnsi="Times New Roman" w:cs="Times New Roman"/>
        </w:rPr>
        <w:t xml:space="preserve"> 130, (2), 184-208.</w:t>
      </w:r>
    </w:p>
    <w:p w14:paraId="1E3A78D4" w14:textId="06865AD0" w:rsidR="00221BA9" w:rsidRPr="00CE50D8" w:rsidRDefault="001A0A0E">
      <w:pPr>
        <w:spacing w:line="480" w:lineRule="auto"/>
        <w:jc w:val="both"/>
        <w:rPr>
          <w:rFonts w:ascii="Times New Roman" w:eastAsia="Times New Roman" w:hAnsi="Times New Roman" w:cs="Times New Roman"/>
        </w:rPr>
      </w:pPr>
      <w:bookmarkStart w:id="40" w:name="_heading=h.2bn6wsx" w:colFirst="0" w:colLast="0"/>
      <w:bookmarkEnd w:id="40"/>
      <w:r w:rsidRPr="00CE50D8">
        <w:rPr>
          <w:rFonts w:ascii="Times New Roman" w:eastAsia="Times New Roman" w:hAnsi="Times New Roman" w:cs="Times New Roman"/>
        </w:rPr>
        <w:t>22.</w:t>
      </w:r>
      <w:r w:rsidRPr="00CE50D8">
        <w:rPr>
          <w:rFonts w:ascii="Times New Roman" w:eastAsia="Times New Roman" w:hAnsi="Times New Roman" w:cs="Times New Roman"/>
        </w:rPr>
        <w:tab/>
        <w:t xml:space="preserve">Tamagno, E.; Parola, M.; Bardini, P.; Piccini, A.; Borghi, R.; Guglielmotto, M.; Santoro, G.; Davit, A.; Danni, O.; Smith, M. A.; Perry, G.; Tabaton, M., β-Site APP cleaving enzyme up-regulation induced by 4-hydroxynonenal is mediated by stress-activated protein kinases pathways. </w:t>
      </w:r>
      <w:r w:rsidRPr="00CE50D8">
        <w:rPr>
          <w:rFonts w:ascii="Times New Roman" w:eastAsia="Times New Roman" w:hAnsi="Times New Roman" w:cs="Times New Roman"/>
          <w:i/>
        </w:rPr>
        <w:t>J</w:t>
      </w:r>
      <w:r w:rsidR="00876DE4" w:rsidRPr="00CE50D8">
        <w:rPr>
          <w:rFonts w:ascii="Times New Roman" w:eastAsia="Times New Roman" w:hAnsi="Times New Roman" w:cs="Times New Roman"/>
          <w:i/>
        </w:rPr>
        <w:t xml:space="preserve">. </w:t>
      </w:r>
      <w:r w:rsidRPr="00CE50D8">
        <w:rPr>
          <w:rFonts w:ascii="Times New Roman" w:eastAsia="Times New Roman" w:hAnsi="Times New Roman" w:cs="Times New Roman"/>
          <w:i/>
        </w:rPr>
        <w:t>Neurochem</w:t>
      </w:r>
      <w:r w:rsidR="00876DE4"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2005,</w:t>
      </w:r>
      <w:r w:rsidRPr="00CE50D8">
        <w:rPr>
          <w:rFonts w:ascii="Times New Roman" w:eastAsia="Times New Roman" w:hAnsi="Times New Roman" w:cs="Times New Roman"/>
        </w:rPr>
        <w:t xml:space="preserve"> 92, (3), 628-636.</w:t>
      </w:r>
    </w:p>
    <w:p w14:paraId="443A1DC1" w14:textId="691DB8BE" w:rsidR="00221BA9" w:rsidRPr="00CE50D8" w:rsidRDefault="001A0A0E">
      <w:pPr>
        <w:spacing w:line="480" w:lineRule="auto"/>
        <w:jc w:val="both"/>
        <w:rPr>
          <w:rFonts w:ascii="Times New Roman" w:eastAsia="Times New Roman" w:hAnsi="Times New Roman" w:cs="Times New Roman"/>
        </w:rPr>
      </w:pPr>
      <w:bookmarkStart w:id="41" w:name="_heading=h.qsh70q" w:colFirst="0" w:colLast="0"/>
      <w:bookmarkEnd w:id="41"/>
      <w:r w:rsidRPr="00CE50D8">
        <w:rPr>
          <w:rFonts w:ascii="Times New Roman" w:eastAsia="Times New Roman" w:hAnsi="Times New Roman" w:cs="Times New Roman"/>
        </w:rPr>
        <w:t>23.</w:t>
      </w:r>
      <w:r w:rsidRPr="00CE50D8">
        <w:rPr>
          <w:rFonts w:ascii="Times New Roman" w:eastAsia="Times New Roman" w:hAnsi="Times New Roman" w:cs="Times New Roman"/>
        </w:rPr>
        <w:tab/>
        <w:t xml:space="preserve">Smith, M. A.; Rottkamp, C. A.; Nunomura, A.; Raina, A. K.; Perry, G., Oxidative stress in Alzheimer’s disease. </w:t>
      </w:r>
      <w:r w:rsidR="00876DE4" w:rsidRPr="00CE50D8">
        <w:rPr>
          <w:rFonts w:ascii="Times New Roman" w:eastAsia="Times New Roman" w:hAnsi="Times New Roman" w:cs="Times New Roman"/>
          <w:i/>
        </w:rPr>
        <w:t>Biochim. Biophys. Acta, Mol. Basis Dis.</w:t>
      </w:r>
      <w:r w:rsidR="00876DE4"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2000,</w:t>
      </w:r>
      <w:r w:rsidRPr="00CE50D8">
        <w:rPr>
          <w:rFonts w:ascii="Times New Roman" w:eastAsia="Times New Roman" w:hAnsi="Times New Roman" w:cs="Times New Roman"/>
        </w:rPr>
        <w:t xml:space="preserve"> 1502, (1), 139-144.</w:t>
      </w:r>
    </w:p>
    <w:p w14:paraId="04944C8F" w14:textId="77777777" w:rsidR="00221BA9" w:rsidRPr="00CE50D8" w:rsidRDefault="001A0A0E">
      <w:pPr>
        <w:spacing w:line="480" w:lineRule="auto"/>
        <w:jc w:val="both"/>
        <w:rPr>
          <w:rFonts w:ascii="Times New Roman" w:eastAsia="Times New Roman" w:hAnsi="Times New Roman" w:cs="Times New Roman"/>
        </w:rPr>
      </w:pPr>
      <w:bookmarkStart w:id="42" w:name="_heading=h.3as4poj" w:colFirst="0" w:colLast="0"/>
      <w:bookmarkEnd w:id="42"/>
      <w:r w:rsidRPr="00CE50D8">
        <w:rPr>
          <w:rFonts w:ascii="Times New Roman" w:eastAsia="Times New Roman" w:hAnsi="Times New Roman" w:cs="Times New Roman"/>
        </w:rPr>
        <w:t>24.</w:t>
      </w:r>
      <w:r w:rsidRPr="00CE50D8">
        <w:rPr>
          <w:rFonts w:ascii="Times New Roman" w:eastAsia="Times New Roman" w:hAnsi="Times New Roman" w:cs="Times New Roman"/>
        </w:rPr>
        <w:tab/>
        <w:t xml:space="preserve">Bartus, R. T.; Dean, R. L.; Beer, B.; Lippa, A. S., The cholinergic hypothesis of geriatric memory dysfunction. </w:t>
      </w:r>
      <w:r w:rsidRPr="00CE50D8">
        <w:rPr>
          <w:rFonts w:ascii="Times New Roman" w:eastAsia="Times New Roman" w:hAnsi="Times New Roman" w:cs="Times New Roman"/>
          <w:i/>
        </w:rPr>
        <w:t xml:space="preserve">Science </w:t>
      </w:r>
      <w:r w:rsidRPr="00CE50D8">
        <w:rPr>
          <w:rFonts w:ascii="Times New Roman" w:eastAsia="Times New Roman" w:hAnsi="Times New Roman" w:cs="Times New Roman"/>
          <w:b/>
        </w:rPr>
        <w:t>1982,</w:t>
      </w:r>
      <w:r w:rsidRPr="00CE50D8">
        <w:rPr>
          <w:rFonts w:ascii="Times New Roman" w:eastAsia="Times New Roman" w:hAnsi="Times New Roman" w:cs="Times New Roman"/>
        </w:rPr>
        <w:t xml:space="preserve"> 217, (4558), 408.</w:t>
      </w:r>
    </w:p>
    <w:p w14:paraId="4849BC73" w14:textId="6FD427A2" w:rsidR="00221BA9" w:rsidRPr="00CE50D8" w:rsidRDefault="001A0A0E">
      <w:pPr>
        <w:spacing w:line="480" w:lineRule="auto"/>
        <w:jc w:val="both"/>
        <w:rPr>
          <w:rFonts w:ascii="Times New Roman" w:eastAsia="Times New Roman" w:hAnsi="Times New Roman" w:cs="Times New Roman"/>
        </w:rPr>
      </w:pPr>
      <w:bookmarkStart w:id="43" w:name="_heading=h.1pxezwc" w:colFirst="0" w:colLast="0"/>
      <w:bookmarkEnd w:id="43"/>
      <w:r w:rsidRPr="00CE50D8">
        <w:rPr>
          <w:rFonts w:ascii="Times New Roman" w:eastAsia="Times New Roman" w:hAnsi="Times New Roman" w:cs="Times New Roman"/>
        </w:rPr>
        <w:t>25.</w:t>
      </w:r>
      <w:r w:rsidRPr="00CE50D8">
        <w:rPr>
          <w:rFonts w:ascii="Times New Roman" w:eastAsia="Times New Roman" w:hAnsi="Times New Roman" w:cs="Times New Roman"/>
        </w:rPr>
        <w:tab/>
        <w:t xml:space="preserve">Arvidsson, U.; Riedl, M.; Elde, R.; Meister, B., Vesicular acetylcholine transporter (VAChT) protein: A novel and unique marker for cholinergic neurons in the central and peripheral nervous systems. </w:t>
      </w:r>
      <w:r w:rsidR="00876DE4" w:rsidRPr="00CE50D8">
        <w:rPr>
          <w:rFonts w:ascii="Times New Roman" w:eastAsia="Times New Roman" w:hAnsi="Times New Roman" w:cs="Times New Roman"/>
          <w:i/>
        </w:rPr>
        <w:t>J. Comp. Neurol.</w:t>
      </w:r>
      <w:r w:rsidR="00876DE4"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1997,</w:t>
      </w:r>
      <w:r w:rsidRPr="00CE50D8">
        <w:rPr>
          <w:rFonts w:ascii="Times New Roman" w:eastAsia="Times New Roman" w:hAnsi="Times New Roman" w:cs="Times New Roman"/>
        </w:rPr>
        <w:t xml:space="preserve"> 378, (4), 454-467.</w:t>
      </w:r>
    </w:p>
    <w:p w14:paraId="4FCF71F3" w14:textId="71756EDA" w:rsidR="00221BA9" w:rsidRPr="00CE50D8" w:rsidRDefault="001A0A0E">
      <w:pPr>
        <w:spacing w:line="480" w:lineRule="auto"/>
        <w:jc w:val="both"/>
        <w:rPr>
          <w:rFonts w:ascii="Times New Roman" w:eastAsia="Times New Roman" w:hAnsi="Times New Roman" w:cs="Times New Roman"/>
        </w:rPr>
      </w:pPr>
      <w:bookmarkStart w:id="44" w:name="_heading=h.49x2ik5" w:colFirst="0" w:colLast="0"/>
      <w:bookmarkEnd w:id="44"/>
      <w:r w:rsidRPr="00CE50D8">
        <w:rPr>
          <w:rFonts w:ascii="Times New Roman" w:eastAsia="Times New Roman" w:hAnsi="Times New Roman" w:cs="Times New Roman"/>
        </w:rPr>
        <w:t>26.</w:t>
      </w:r>
      <w:r w:rsidRPr="00CE50D8">
        <w:rPr>
          <w:rFonts w:ascii="Times New Roman" w:eastAsia="Times New Roman" w:hAnsi="Times New Roman" w:cs="Times New Roman"/>
        </w:rPr>
        <w:tab/>
        <w:t xml:space="preserve">Morán, M. A.; Mufson, E. J.; Gómez-Ramos, P., Colocalization of cholinesterases with β amyloid protein in aged and Alzheimer's brains. </w:t>
      </w:r>
      <w:r w:rsidR="00876DE4" w:rsidRPr="00CE50D8">
        <w:rPr>
          <w:rFonts w:ascii="Times New Roman" w:eastAsia="Times New Roman" w:hAnsi="Times New Roman" w:cs="Times New Roman"/>
          <w:i/>
        </w:rPr>
        <w:t xml:space="preserve">Acta Neuropathol. </w:t>
      </w:r>
      <w:r w:rsidRPr="00CE50D8">
        <w:rPr>
          <w:rFonts w:ascii="Times New Roman" w:eastAsia="Times New Roman" w:hAnsi="Times New Roman" w:cs="Times New Roman"/>
          <w:b/>
        </w:rPr>
        <w:t>1993,</w:t>
      </w:r>
      <w:r w:rsidRPr="00CE50D8">
        <w:rPr>
          <w:rFonts w:ascii="Times New Roman" w:eastAsia="Times New Roman" w:hAnsi="Times New Roman" w:cs="Times New Roman"/>
        </w:rPr>
        <w:t xml:space="preserve"> 85, (4), 362-369.</w:t>
      </w:r>
    </w:p>
    <w:p w14:paraId="64535FE0" w14:textId="5F80E9E8" w:rsidR="00221BA9" w:rsidRPr="00CE50D8" w:rsidRDefault="001A0A0E">
      <w:pPr>
        <w:spacing w:line="480" w:lineRule="auto"/>
        <w:jc w:val="both"/>
        <w:rPr>
          <w:rFonts w:ascii="Times New Roman" w:eastAsia="Times New Roman" w:hAnsi="Times New Roman" w:cs="Times New Roman"/>
        </w:rPr>
      </w:pPr>
      <w:bookmarkStart w:id="45" w:name="_heading=h.2p2csry" w:colFirst="0" w:colLast="0"/>
      <w:bookmarkEnd w:id="45"/>
      <w:r w:rsidRPr="00CE50D8">
        <w:rPr>
          <w:rFonts w:ascii="Times New Roman" w:eastAsia="Times New Roman" w:hAnsi="Times New Roman" w:cs="Times New Roman"/>
        </w:rPr>
        <w:t>27.</w:t>
      </w:r>
      <w:r w:rsidRPr="00CE50D8">
        <w:rPr>
          <w:rFonts w:ascii="Times New Roman" w:eastAsia="Times New Roman" w:hAnsi="Times New Roman" w:cs="Times New Roman"/>
        </w:rPr>
        <w:tab/>
        <w:t xml:space="preserve">Alvarez, A.; Bronfman, F.; Pérez, C. A.; Vicente, M.; Garrido, J.; Inestrosa, N. C., Acetylcholinesterase, a senile plaque component, affects the fibrillogenesis of amyloid-β-peptides. </w:t>
      </w:r>
      <w:r w:rsidR="00876DE4" w:rsidRPr="00CE50D8">
        <w:rPr>
          <w:rFonts w:ascii="Times New Roman" w:eastAsia="Times New Roman" w:hAnsi="Times New Roman" w:cs="Times New Roman"/>
          <w:i/>
        </w:rPr>
        <w:t>Neurosci. Lett.</w:t>
      </w:r>
      <w:r w:rsidR="00876DE4"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1995,</w:t>
      </w:r>
      <w:r w:rsidRPr="00CE50D8">
        <w:rPr>
          <w:rFonts w:ascii="Times New Roman" w:eastAsia="Times New Roman" w:hAnsi="Times New Roman" w:cs="Times New Roman"/>
        </w:rPr>
        <w:t xml:space="preserve"> 201, (1), 49-52.</w:t>
      </w:r>
    </w:p>
    <w:p w14:paraId="6D920417" w14:textId="74D1B112" w:rsidR="00221BA9" w:rsidRPr="00CE50D8" w:rsidRDefault="001A0A0E">
      <w:pPr>
        <w:spacing w:line="480" w:lineRule="auto"/>
        <w:jc w:val="both"/>
        <w:rPr>
          <w:rFonts w:ascii="Times New Roman" w:eastAsia="Times New Roman" w:hAnsi="Times New Roman" w:cs="Times New Roman"/>
        </w:rPr>
      </w:pPr>
      <w:bookmarkStart w:id="46" w:name="_heading=h.147n2zr" w:colFirst="0" w:colLast="0"/>
      <w:bookmarkEnd w:id="46"/>
      <w:r w:rsidRPr="00CE50D8">
        <w:rPr>
          <w:rFonts w:ascii="Times New Roman" w:eastAsia="Times New Roman" w:hAnsi="Times New Roman" w:cs="Times New Roman"/>
        </w:rPr>
        <w:t>28.</w:t>
      </w:r>
      <w:r w:rsidRPr="00CE50D8">
        <w:rPr>
          <w:rFonts w:ascii="Times New Roman" w:eastAsia="Times New Roman" w:hAnsi="Times New Roman" w:cs="Times New Roman"/>
        </w:rPr>
        <w:tab/>
        <w:t xml:space="preserve">Inestrosa, N. C.; Dinamarca, M. C.; Alvarez, A., Amyloid-cholinesterase interactions. Implications for Alzheimer's disease. </w:t>
      </w:r>
      <w:r w:rsidRPr="00CE50D8">
        <w:rPr>
          <w:rFonts w:ascii="Times New Roman" w:eastAsia="Times New Roman" w:hAnsi="Times New Roman" w:cs="Times New Roman"/>
          <w:i/>
        </w:rPr>
        <w:t>FEBS J</w:t>
      </w:r>
      <w:r w:rsidR="00876DE4"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2008,</w:t>
      </w:r>
      <w:r w:rsidRPr="00CE50D8">
        <w:rPr>
          <w:rFonts w:ascii="Times New Roman" w:eastAsia="Times New Roman" w:hAnsi="Times New Roman" w:cs="Times New Roman"/>
        </w:rPr>
        <w:t xml:space="preserve"> 275.</w:t>
      </w:r>
    </w:p>
    <w:p w14:paraId="15B3DFE4" w14:textId="05E89DC7" w:rsidR="00221BA9" w:rsidRPr="00CE50D8" w:rsidRDefault="001A0A0E">
      <w:pPr>
        <w:spacing w:line="480" w:lineRule="auto"/>
        <w:jc w:val="both"/>
        <w:rPr>
          <w:rFonts w:ascii="Times New Roman" w:eastAsia="Times New Roman" w:hAnsi="Times New Roman" w:cs="Times New Roman"/>
        </w:rPr>
      </w:pPr>
      <w:bookmarkStart w:id="47" w:name="_heading=h.3o7alnk" w:colFirst="0" w:colLast="0"/>
      <w:bookmarkEnd w:id="47"/>
      <w:r w:rsidRPr="00CE50D8">
        <w:rPr>
          <w:rFonts w:ascii="Times New Roman" w:eastAsia="Times New Roman" w:hAnsi="Times New Roman" w:cs="Times New Roman"/>
        </w:rPr>
        <w:t>29.</w:t>
      </w:r>
      <w:r w:rsidRPr="00CE50D8">
        <w:rPr>
          <w:rFonts w:ascii="Times New Roman" w:eastAsia="Times New Roman" w:hAnsi="Times New Roman" w:cs="Times New Roman"/>
        </w:rPr>
        <w:tab/>
        <w:t xml:space="preserve">Alvarez, A.; Opazo, C.; Alarcon, R.; Garrido, J.; Inestrosa, N. C., Acetylcholinesterase promotes the aggregation of amyloid-β-peptide fragments by forming a complex with the growing fibrils. </w:t>
      </w:r>
      <w:r w:rsidRPr="00CE50D8">
        <w:rPr>
          <w:rFonts w:ascii="Times New Roman" w:eastAsia="Times New Roman" w:hAnsi="Times New Roman" w:cs="Times New Roman"/>
          <w:i/>
        </w:rPr>
        <w:t>J</w:t>
      </w:r>
      <w:r w:rsidR="00876DE4"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Mol</w:t>
      </w:r>
      <w:r w:rsidR="00876DE4"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Biol</w:t>
      </w:r>
      <w:r w:rsidR="00876DE4"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1997,</w:t>
      </w:r>
      <w:r w:rsidRPr="00CE50D8">
        <w:rPr>
          <w:rFonts w:ascii="Times New Roman" w:eastAsia="Times New Roman" w:hAnsi="Times New Roman" w:cs="Times New Roman"/>
        </w:rPr>
        <w:t xml:space="preserve"> 272.</w:t>
      </w:r>
    </w:p>
    <w:p w14:paraId="30A0F948" w14:textId="4F4C7EAA" w:rsidR="00221BA9" w:rsidRPr="00CE50D8" w:rsidRDefault="001A0A0E">
      <w:pPr>
        <w:spacing w:line="480" w:lineRule="auto"/>
        <w:jc w:val="both"/>
        <w:rPr>
          <w:rFonts w:ascii="Times New Roman" w:eastAsia="Times New Roman" w:hAnsi="Times New Roman" w:cs="Times New Roman"/>
        </w:rPr>
      </w:pPr>
      <w:bookmarkStart w:id="48" w:name="_heading=h.23ckvvd" w:colFirst="0" w:colLast="0"/>
      <w:bookmarkEnd w:id="48"/>
      <w:r w:rsidRPr="00CE50D8">
        <w:rPr>
          <w:rFonts w:ascii="Times New Roman" w:eastAsia="Times New Roman" w:hAnsi="Times New Roman" w:cs="Times New Roman"/>
        </w:rPr>
        <w:t>30.</w:t>
      </w:r>
      <w:r w:rsidRPr="00CE50D8">
        <w:rPr>
          <w:rFonts w:ascii="Times New Roman" w:eastAsia="Times New Roman" w:hAnsi="Times New Roman" w:cs="Times New Roman"/>
        </w:rPr>
        <w:tab/>
        <w:t xml:space="preserve">Racchi, M.; Mazzucchelli, M.; Porrello, E.; Lanni, C.; Govoni, S., Acetylcholinesterase inhibitors: novel activities of old molecules. </w:t>
      </w:r>
      <w:r w:rsidRPr="00CE50D8">
        <w:rPr>
          <w:rFonts w:ascii="Times New Roman" w:eastAsia="Times New Roman" w:hAnsi="Times New Roman" w:cs="Times New Roman"/>
          <w:i/>
        </w:rPr>
        <w:t>Pharmacol</w:t>
      </w:r>
      <w:r w:rsidR="00876DE4" w:rsidRPr="00CE50D8">
        <w:rPr>
          <w:rFonts w:ascii="Times New Roman" w:eastAsia="Times New Roman" w:hAnsi="Times New Roman" w:cs="Times New Roman"/>
          <w:i/>
        </w:rPr>
        <w:t xml:space="preserve">. </w:t>
      </w:r>
      <w:r w:rsidRPr="00CE50D8">
        <w:rPr>
          <w:rFonts w:ascii="Times New Roman" w:eastAsia="Times New Roman" w:hAnsi="Times New Roman" w:cs="Times New Roman"/>
          <w:i/>
        </w:rPr>
        <w:t>Res</w:t>
      </w:r>
      <w:r w:rsidR="00876DE4"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2004,</w:t>
      </w:r>
      <w:r w:rsidRPr="00CE50D8">
        <w:rPr>
          <w:rFonts w:ascii="Times New Roman" w:eastAsia="Times New Roman" w:hAnsi="Times New Roman" w:cs="Times New Roman"/>
        </w:rPr>
        <w:t xml:space="preserve"> 50, (4), 441-451.</w:t>
      </w:r>
    </w:p>
    <w:p w14:paraId="2A8815A0" w14:textId="7AC88527" w:rsidR="00221BA9" w:rsidRPr="00CE50D8" w:rsidRDefault="001A0A0E">
      <w:pPr>
        <w:spacing w:line="480" w:lineRule="auto"/>
        <w:jc w:val="both"/>
        <w:rPr>
          <w:rFonts w:ascii="Times New Roman" w:eastAsia="Times New Roman" w:hAnsi="Times New Roman" w:cs="Times New Roman"/>
        </w:rPr>
      </w:pPr>
      <w:bookmarkStart w:id="49" w:name="_heading=h.ihv636" w:colFirst="0" w:colLast="0"/>
      <w:bookmarkEnd w:id="49"/>
      <w:r w:rsidRPr="00CE50D8">
        <w:rPr>
          <w:rFonts w:ascii="Times New Roman" w:eastAsia="Times New Roman" w:hAnsi="Times New Roman" w:cs="Times New Roman"/>
        </w:rPr>
        <w:lastRenderedPageBreak/>
        <w:t>31.</w:t>
      </w:r>
      <w:r w:rsidRPr="00CE50D8">
        <w:rPr>
          <w:rFonts w:ascii="Times New Roman" w:eastAsia="Times New Roman" w:hAnsi="Times New Roman" w:cs="Times New Roman"/>
        </w:rPr>
        <w:tab/>
        <w:t xml:space="preserve">Pohanka, M., Acetylcholinesterase inhibitors: a patent review (2008 – present). </w:t>
      </w:r>
      <w:r w:rsidR="00876DE4" w:rsidRPr="00CE50D8">
        <w:rPr>
          <w:rFonts w:ascii="Times New Roman" w:eastAsia="Times New Roman" w:hAnsi="Times New Roman" w:cs="Times New Roman"/>
          <w:i/>
        </w:rPr>
        <w:t>Expert Opin. Ther. Pat.</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2012,</w:t>
      </w:r>
      <w:r w:rsidRPr="00CE50D8">
        <w:rPr>
          <w:rFonts w:ascii="Times New Roman" w:eastAsia="Times New Roman" w:hAnsi="Times New Roman" w:cs="Times New Roman"/>
        </w:rPr>
        <w:t xml:space="preserve"> 22, (8), 871-886.</w:t>
      </w:r>
    </w:p>
    <w:p w14:paraId="41B26621" w14:textId="02A95EF6" w:rsidR="00221BA9" w:rsidRPr="00CE50D8" w:rsidRDefault="001A0A0E">
      <w:pPr>
        <w:spacing w:line="480" w:lineRule="auto"/>
        <w:jc w:val="both"/>
        <w:rPr>
          <w:rFonts w:ascii="Times New Roman" w:eastAsia="Times New Roman" w:hAnsi="Times New Roman" w:cs="Times New Roman"/>
        </w:rPr>
      </w:pPr>
      <w:bookmarkStart w:id="50" w:name="_heading=h.32hioqz" w:colFirst="0" w:colLast="0"/>
      <w:bookmarkEnd w:id="50"/>
      <w:r w:rsidRPr="00CE50D8">
        <w:rPr>
          <w:rFonts w:ascii="Times New Roman" w:eastAsia="Times New Roman" w:hAnsi="Times New Roman" w:cs="Times New Roman"/>
        </w:rPr>
        <w:t>32.</w:t>
      </w:r>
      <w:r w:rsidRPr="00CE50D8">
        <w:rPr>
          <w:rFonts w:ascii="Times New Roman" w:eastAsia="Times New Roman" w:hAnsi="Times New Roman" w:cs="Times New Roman"/>
        </w:rPr>
        <w:tab/>
        <w:t xml:space="preserve">McGleenon; Dynan; Passmore, Acetylcholinesterase inhibitors in Alzheimer’s disease. </w:t>
      </w:r>
      <w:r w:rsidR="00876DE4" w:rsidRPr="00CE50D8">
        <w:rPr>
          <w:rFonts w:ascii="Times New Roman" w:eastAsia="Times New Roman" w:hAnsi="Times New Roman" w:cs="Times New Roman"/>
          <w:i/>
        </w:rPr>
        <w:t>Br. J. Clin. Pharmacol.</w:t>
      </w:r>
      <w:r w:rsidR="00876DE4"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1999,</w:t>
      </w:r>
      <w:r w:rsidRPr="00CE50D8">
        <w:rPr>
          <w:rFonts w:ascii="Times New Roman" w:eastAsia="Times New Roman" w:hAnsi="Times New Roman" w:cs="Times New Roman"/>
        </w:rPr>
        <w:t xml:space="preserve"> 48, (4), 471-480.</w:t>
      </w:r>
    </w:p>
    <w:p w14:paraId="7404D302" w14:textId="240BDA6B" w:rsidR="00221BA9" w:rsidRPr="00CE50D8" w:rsidRDefault="001A0A0E">
      <w:pPr>
        <w:spacing w:line="480" w:lineRule="auto"/>
        <w:jc w:val="both"/>
        <w:rPr>
          <w:rFonts w:ascii="Times New Roman" w:eastAsia="Times New Roman" w:hAnsi="Times New Roman" w:cs="Times New Roman"/>
        </w:rPr>
      </w:pPr>
      <w:bookmarkStart w:id="51" w:name="_heading=h.1hmsyys" w:colFirst="0" w:colLast="0"/>
      <w:bookmarkEnd w:id="51"/>
      <w:r w:rsidRPr="00CE50D8">
        <w:rPr>
          <w:rFonts w:ascii="Times New Roman" w:eastAsia="Times New Roman" w:hAnsi="Times New Roman" w:cs="Times New Roman"/>
        </w:rPr>
        <w:t>33.</w:t>
      </w:r>
      <w:r w:rsidRPr="00CE50D8">
        <w:rPr>
          <w:rFonts w:ascii="Times New Roman" w:eastAsia="Times New Roman" w:hAnsi="Times New Roman" w:cs="Times New Roman"/>
        </w:rPr>
        <w:tab/>
        <w:t xml:space="preserve">Cummings, J. L., Cholinesterase Inhibitors: A New Class of Psychotropic Compounds. </w:t>
      </w:r>
      <w:r w:rsidR="00B94C08" w:rsidRPr="00CE50D8">
        <w:rPr>
          <w:rFonts w:ascii="Times New Roman" w:eastAsia="Times New Roman" w:hAnsi="Times New Roman" w:cs="Times New Roman"/>
          <w:i/>
        </w:rPr>
        <w:t>Am. J. Psychiatry</w:t>
      </w:r>
      <w:r w:rsidR="00B94C08"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2000,</w:t>
      </w:r>
      <w:r w:rsidRPr="00CE50D8">
        <w:rPr>
          <w:rFonts w:ascii="Times New Roman" w:eastAsia="Times New Roman" w:hAnsi="Times New Roman" w:cs="Times New Roman"/>
        </w:rPr>
        <w:t xml:space="preserve"> 157, (1), 4-15.</w:t>
      </w:r>
    </w:p>
    <w:p w14:paraId="781FD774" w14:textId="53A30D5B" w:rsidR="00221BA9" w:rsidRPr="00CE50D8" w:rsidRDefault="001A0A0E">
      <w:pPr>
        <w:spacing w:line="480" w:lineRule="auto"/>
        <w:jc w:val="both"/>
        <w:rPr>
          <w:rFonts w:ascii="Times New Roman" w:eastAsia="Times New Roman" w:hAnsi="Times New Roman" w:cs="Times New Roman"/>
        </w:rPr>
      </w:pPr>
      <w:bookmarkStart w:id="52" w:name="_heading=h.41mghml" w:colFirst="0" w:colLast="0"/>
      <w:bookmarkEnd w:id="52"/>
      <w:r w:rsidRPr="00CE50D8">
        <w:rPr>
          <w:rFonts w:ascii="Times New Roman" w:eastAsia="Times New Roman" w:hAnsi="Times New Roman" w:cs="Times New Roman"/>
        </w:rPr>
        <w:t>34.</w:t>
      </w:r>
      <w:r w:rsidRPr="00CE50D8">
        <w:rPr>
          <w:rFonts w:ascii="Times New Roman" w:eastAsia="Times New Roman" w:hAnsi="Times New Roman" w:cs="Times New Roman"/>
        </w:rPr>
        <w:tab/>
        <w:t xml:space="preserve">Anand, P.; Singh, B., A review on cholinesterase inhibitors for Alzheimer’s disease. </w:t>
      </w:r>
      <w:r w:rsidR="00B94C08" w:rsidRPr="00CE50D8">
        <w:rPr>
          <w:rFonts w:ascii="Times New Roman" w:eastAsia="Times New Roman" w:hAnsi="Times New Roman" w:cs="Times New Roman"/>
          <w:i/>
        </w:rPr>
        <w:t xml:space="preserve">Arch. Pharmacal Res. </w:t>
      </w:r>
      <w:r w:rsidRPr="00CE50D8">
        <w:rPr>
          <w:rFonts w:ascii="Times New Roman" w:eastAsia="Times New Roman" w:hAnsi="Times New Roman" w:cs="Times New Roman"/>
          <w:b/>
        </w:rPr>
        <w:t>2013,</w:t>
      </w:r>
      <w:r w:rsidRPr="00CE50D8">
        <w:rPr>
          <w:rFonts w:ascii="Times New Roman" w:eastAsia="Times New Roman" w:hAnsi="Times New Roman" w:cs="Times New Roman"/>
        </w:rPr>
        <w:t xml:space="preserve"> 36, (4), 375-399.</w:t>
      </w:r>
    </w:p>
    <w:p w14:paraId="78997459" w14:textId="5B5B667F" w:rsidR="00221BA9" w:rsidRPr="00CE50D8" w:rsidRDefault="001A0A0E">
      <w:pPr>
        <w:spacing w:line="480" w:lineRule="auto"/>
        <w:jc w:val="both"/>
        <w:rPr>
          <w:rFonts w:ascii="Times New Roman" w:eastAsia="Times New Roman" w:hAnsi="Times New Roman" w:cs="Times New Roman"/>
        </w:rPr>
      </w:pPr>
      <w:bookmarkStart w:id="53" w:name="_heading=h.2grqrue" w:colFirst="0" w:colLast="0"/>
      <w:bookmarkEnd w:id="53"/>
      <w:r w:rsidRPr="00CE50D8">
        <w:rPr>
          <w:rFonts w:ascii="Times New Roman" w:eastAsia="Times New Roman" w:hAnsi="Times New Roman" w:cs="Times New Roman"/>
        </w:rPr>
        <w:t>35.</w:t>
      </w:r>
      <w:r w:rsidRPr="00CE50D8">
        <w:rPr>
          <w:rFonts w:ascii="Times New Roman" w:eastAsia="Times New Roman" w:hAnsi="Times New Roman" w:cs="Times New Roman"/>
        </w:rPr>
        <w:tab/>
        <w:t>Perry, E. K.; Curtis, M.; Dick, D. J.; Candy, J. M.; Atack, J. R.; Bloxham, C. A.; Blessed, G.; Fairbairn, A.; Tomlinson, B. E.; Perry, R. H., Cholinergic correlates of cognitive impairment in Parkinson</w:t>
      </w:r>
      <w:r w:rsidR="00352A7C" w:rsidRPr="00CE50D8">
        <w:rPr>
          <w:rFonts w:ascii="Times New Roman" w:eastAsia="Times New Roman" w:hAnsi="Times New Roman" w:cs="Times New Roman"/>
        </w:rPr>
        <w:t>‘</w:t>
      </w:r>
      <w:r w:rsidRPr="00CE50D8">
        <w:rPr>
          <w:rFonts w:ascii="Times New Roman" w:eastAsia="Times New Roman" w:hAnsi="Times New Roman" w:cs="Times New Roman"/>
        </w:rPr>
        <w:t>s disease: comparisons with Alzheimer</w:t>
      </w:r>
      <w:r w:rsidR="00352A7C" w:rsidRPr="00CE50D8">
        <w:rPr>
          <w:rFonts w:ascii="Times New Roman" w:eastAsia="Times New Roman" w:hAnsi="Times New Roman" w:cs="Times New Roman"/>
        </w:rPr>
        <w:t>‘</w:t>
      </w:r>
      <w:r w:rsidRPr="00CE50D8">
        <w:rPr>
          <w:rFonts w:ascii="Times New Roman" w:eastAsia="Times New Roman" w:hAnsi="Times New Roman" w:cs="Times New Roman"/>
        </w:rPr>
        <w:t xml:space="preserve">s disease. </w:t>
      </w:r>
      <w:r w:rsidR="00B94C08" w:rsidRPr="00CE50D8">
        <w:rPr>
          <w:rFonts w:ascii="Times New Roman" w:eastAsia="Times New Roman" w:hAnsi="Times New Roman" w:cs="Times New Roman"/>
          <w:i/>
        </w:rPr>
        <w:t>J. Neurol., Neurosurg. Psychiatry</w:t>
      </w:r>
      <w:r w:rsidR="00B94C08"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1985,</w:t>
      </w:r>
      <w:r w:rsidRPr="00CE50D8">
        <w:rPr>
          <w:rFonts w:ascii="Times New Roman" w:eastAsia="Times New Roman" w:hAnsi="Times New Roman" w:cs="Times New Roman"/>
        </w:rPr>
        <w:t xml:space="preserve"> 48, (5), 413.</w:t>
      </w:r>
    </w:p>
    <w:p w14:paraId="32117A3C" w14:textId="43A40B0D" w:rsidR="00221BA9" w:rsidRPr="00CE50D8" w:rsidRDefault="001A0A0E">
      <w:pPr>
        <w:spacing w:line="480" w:lineRule="auto"/>
        <w:jc w:val="both"/>
        <w:rPr>
          <w:rFonts w:ascii="Times New Roman" w:eastAsia="Times New Roman" w:hAnsi="Times New Roman" w:cs="Times New Roman"/>
        </w:rPr>
      </w:pPr>
      <w:bookmarkStart w:id="54" w:name="_heading=h.vx1227" w:colFirst="0" w:colLast="0"/>
      <w:bookmarkEnd w:id="54"/>
      <w:r w:rsidRPr="00CE50D8">
        <w:rPr>
          <w:rFonts w:ascii="Times New Roman" w:eastAsia="Times New Roman" w:hAnsi="Times New Roman" w:cs="Times New Roman"/>
        </w:rPr>
        <w:t>36.</w:t>
      </w:r>
      <w:r w:rsidRPr="00CE50D8">
        <w:rPr>
          <w:rFonts w:ascii="Times New Roman" w:eastAsia="Times New Roman" w:hAnsi="Times New Roman" w:cs="Times New Roman"/>
        </w:rPr>
        <w:tab/>
        <w:t xml:space="preserve">Perry, E. K.; Tomlinson, B. E.; Blessed, G.; Bergmann, K.; Gibson, P. H.; Perry, R. H., Correlation of cholinergic abnormalities with senile plaques and mental test scores in senile dementia. </w:t>
      </w:r>
      <w:r w:rsidR="00B94C08" w:rsidRPr="00CE50D8">
        <w:rPr>
          <w:rFonts w:ascii="Times New Roman" w:eastAsia="Times New Roman" w:hAnsi="Times New Roman" w:cs="Times New Roman"/>
          <w:i/>
        </w:rPr>
        <w:t>Br. Med. J.</w:t>
      </w:r>
      <w:r w:rsidR="00B94C08"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1978,</w:t>
      </w:r>
      <w:r w:rsidRPr="00CE50D8">
        <w:rPr>
          <w:rFonts w:ascii="Times New Roman" w:eastAsia="Times New Roman" w:hAnsi="Times New Roman" w:cs="Times New Roman"/>
        </w:rPr>
        <w:t xml:space="preserve"> 2, (6150), 1457.</w:t>
      </w:r>
    </w:p>
    <w:p w14:paraId="638B2C08" w14:textId="5EC74669" w:rsidR="00221BA9" w:rsidRPr="00CE50D8" w:rsidRDefault="001A0A0E">
      <w:pPr>
        <w:spacing w:line="480" w:lineRule="auto"/>
        <w:jc w:val="both"/>
        <w:rPr>
          <w:rFonts w:ascii="Times New Roman" w:eastAsia="Times New Roman" w:hAnsi="Times New Roman" w:cs="Times New Roman"/>
        </w:rPr>
      </w:pPr>
      <w:bookmarkStart w:id="55" w:name="_heading=h.3fwokq0" w:colFirst="0" w:colLast="0"/>
      <w:bookmarkEnd w:id="55"/>
      <w:r w:rsidRPr="00CE50D8">
        <w:rPr>
          <w:rFonts w:ascii="Times New Roman" w:eastAsia="Times New Roman" w:hAnsi="Times New Roman" w:cs="Times New Roman"/>
        </w:rPr>
        <w:t>37.</w:t>
      </w:r>
      <w:r w:rsidRPr="00CE50D8">
        <w:rPr>
          <w:rFonts w:ascii="Times New Roman" w:eastAsia="Times New Roman" w:hAnsi="Times New Roman" w:cs="Times New Roman"/>
        </w:rPr>
        <w:tab/>
        <w:t xml:space="preserve">Mirjana, B. C.; Danijela, Z. K.; Tamara, D. L.-P.; Aleksandra, M. B.; Vesna, M. V., Acetylcholinesterase Inhibitors: Pharmacology and Toxicology. </w:t>
      </w:r>
      <w:r w:rsidR="00B94C08" w:rsidRPr="00CE50D8">
        <w:rPr>
          <w:rFonts w:ascii="Times New Roman" w:eastAsia="Times New Roman" w:hAnsi="Times New Roman" w:cs="Times New Roman"/>
          <w:i/>
        </w:rPr>
        <w:t>Curr. Neuropharmacol.</w:t>
      </w:r>
      <w:r w:rsidR="00B94C08"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2013,</w:t>
      </w:r>
      <w:r w:rsidRPr="00CE50D8">
        <w:rPr>
          <w:rFonts w:ascii="Times New Roman" w:eastAsia="Times New Roman" w:hAnsi="Times New Roman" w:cs="Times New Roman"/>
        </w:rPr>
        <w:t xml:space="preserve"> 11, (3), 315-335.</w:t>
      </w:r>
    </w:p>
    <w:p w14:paraId="6D251FBF" w14:textId="201A3CC8" w:rsidR="00221BA9" w:rsidRPr="00CE50D8" w:rsidRDefault="001A0A0E">
      <w:pPr>
        <w:spacing w:line="480" w:lineRule="auto"/>
        <w:jc w:val="both"/>
        <w:rPr>
          <w:rFonts w:ascii="Times New Roman" w:eastAsia="Times New Roman" w:hAnsi="Times New Roman" w:cs="Times New Roman"/>
        </w:rPr>
      </w:pPr>
      <w:bookmarkStart w:id="56" w:name="_heading=h.1v1yuxt" w:colFirst="0" w:colLast="0"/>
      <w:bookmarkEnd w:id="56"/>
      <w:r w:rsidRPr="00CE50D8">
        <w:rPr>
          <w:rFonts w:ascii="Times New Roman" w:eastAsia="Times New Roman" w:hAnsi="Times New Roman" w:cs="Times New Roman"/>
        </w:rPr>
        <w:t>38.</w:t>
      </w:r>
      <w:r w:rsidRPr="00CE50D8">
        <w:rPr>
          <w:rFonts w:ascii="Times New Roman" w:eastAsia="Times New Roman" w:hAnsi="Times New Roman" w:cs="Times New Roman"/>
        </w:rPr>
        <w:tab/>
        <w:t xml:space="preserve">Tayeb, H. O.; Yang, H. D.; Price, B. H.; Tarazi, F. I., Pharmacotherapies for Alzheimer's disease: Beyond cholinesterase inhibitors. </w:t>
      </w:r>
      <w:r w:rsidR="00B94C08" w:rsidRPr="00CE50D8">
        <w:rPr>
          <w:rFonts w:ascii="Times New Roman" w:eastAsia="Times New Roman" w:hAnsi="Times New Roman" w:cs="Times New Roman"/>
          <w:i/>
        </w:rPr>
        <w:t>Pharmacol. Ther.</w:t>
      </w:r>
      <w:r w:rsidR="00B94C08"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2012,</w:t>
      </w:r>
      <w:r w:rsidRPr="00CE50D8">
        <w:rPr>
          <w:rFonts w:ascii="Times New Roman" w:eastAsia="Times New Roman" w:hAnsi="Times New Roman" w:cs="Times New Roman"/>
        </w:rPr>
        <w:t xml:space="preserve"> 134, (1), 8-25.</w:t>
      </w:r>
    </w:p>
    <w:p w14:paraId="443FD15B" w14:textId="76593898" w:rsidR="00221BA9" w:rsidRPr="00CE50D8" w:rsidRDefault="001A0A0E">
      <w:pPr>
        <w:spacing w:line="480" w:lineRule="auto"/>
        <w:jc w:val="both"/>
        <w:rPr>
          <w:rFonts w:ascii="Times New Roman" w:eastAsia="Times New Roman" w:hAnsi="Times New Roman" w:cs="Times New Roman"/>
        </w:rPr>
      </w:pPr>
      <w:bookmarkStart w:id="57" w:name="_heading=h.4f1mdlm" w:colFirst="0" w:colLast="0"/>
      <w:bookmarkEnd w:id="57"/>
      <w:r w:rsidRPr="00CE50D8">
        <w:rPr>
          <w:rFonts w:ascii="Times New Roman" w:eastAsia="Times New Roman" w:hAnsi="Times New Roman" w:cs="Times New Roman"/>
        </w:rPr>
        <w:t>39.</w:t>
      </w:r>
      <w:r w:rsidRPr="00CE50D8">
        <w:rPr>
          <w:rFonts w:ascii="Times New Roman" w:eastAsia="Times New Roman" w:hAnsi="Times New Roman" w:cs="Times New Roman"/>
        </w:rPr>
        <w:tab/>
        <w:t xml:space="preserve">Bolognesi, M. L.; Cavalli, A.; Valgimigli, L.; Bartolini, M.; Rosini, M.; Andrisano, V.; Recanatini, M.; Melchiorre, C., Multi-Target-Directed Drug Design Strategy: From a Dual Binding Site Acetylcholinesterase Inhibitor to a Trifunctional Compound against Alzheimer’s Disease. </w:t>
      </w:r>
      <w:r w:rsidRPr="00CE50D8">
        <w:rPr>
          <w:rFonts w:ascii="Times New Roman" w:eastAsia="Times New Roman" w:hAnsi="Times New Roman" w:cs="Times New Roman"/>
          <w:i/>
        </w:rPr>
        <w:t>J</w:t>
      </w:r>
      <w:r w:rsidR="00B94C08" w:rsidRPr="00CE50D8">
        <w:rPr>
          <w:rFonts w:ascii="Times New Roman" w:eastAsia="Times New Roman" w:hAnsi="Times New Roman" w:cs="Times New Roman"/>
          <w:i/>
        </w:rPr>
        <w:t xml:space="preserve">. </w:t>
      </w:r>
      <w:r w:rsidRPr="00CE50D8">
        <w:rPr>
          <w:rFonts w:ascii="Times New Roman" w:eastAsia="Times New Roman" w:hAnsi="Times New Roman" w:cs="Times New Roman"/>
          <w:i/>
        </w:rPr>
        <w:t>Med</w:t>
      </w:r>
      <w:r w:rsidR="00B94C08" w:rsidRPr="00CE50D8">
        <w:rPr>
          <w:rFonts w:ascii="Times New Roman" w:eastAsia="Times New Roman" w:hAnsi="Times New Roman" w:cs="Times New Roman"/>
          <w:i/>
        </w:rPr>
        <w:t xml:space="preserve">. </w:t>
      </w:r>
      <w:r w:rsidRPr="00CE50D8">
        <w:rPr>
          <w:rFonts w:ascii="Times New Roman" w:eastAsia="Times New Roman" w:hAnsi="Times New Roman" w:cs="Times New Roman"/>
          <w:i/>
        </w:rPr>
        <w:t>Chem</w:t>
      </w:r>
      <w:r w:rsidR="00B94C08"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2007,</w:t>
      </w:r>
      <w:r w:rsidRPr="00CE50D8">
        <w:rPr>
          <w:rFonts w:ascii="Times New Roman" w:eastAsia="Times New Roman" w:hAnsi="Times New Roman" w:cs="Times New Roman"/>
        </w:rPr>
        <w:t xml:space="preserve"> 50, (26), 6446-6449.</w:t>
      </w:r>
    </w:p>
    <w:p w14:paraId="5F4F6A58" w14:textId="064A9613" w:rsidR="00221BA9" w:rsidRPr="00CE50D8" w:rsidRDefault="001A0A0E">
      <w:pPr>
        <w:spacing w:line="480" w:lineRule="auto"/>
        <w:jc w:val="both"/>
        <w:rPr>
          <w:rFonts w:ascii="Times New Roman" w:eastAsia="Times New Roman" w:hAnsi="Times New Roman" w:cs="Times New Roman"/>
        </w:rPr>
      </w:pPr>
      <w:bookmarkStart w:id="58" w:name="_heading=h.2u6wntf" w:colFirst="0" w:colLast="0"/>
      <w:bookmarkEnd w:id="58"/>
      <w:r w:rsidRPr="00CE50D8">
        <w:rPr>
          <w:rFonts w:ascii="Times New Roman" w:eastAsia="Times New Roman" w:hAnsi="Times New Roman" w:cs="Times New Roman"/>
        </w:rPr>
        <w:t>40.</w:t>
      </w:r>
      <w:r w:rsidRPr="00CE50D8">
        <w:rPr>
          <w:rFonts w:ascii="Times New Roman" w:eastAsia="Times New Roman" w:hAnsi="Times New Roman" w:cs="Times New Roman"/>
        </w:rPr>
        <w:tab/>
        <w:t xml:space="preserve">Xie, Y.; Yang, W.; Chen, X.; Xiao, J., Inhibition of flavonoids on acetylcholine esterase: </w:t>
      </w:r>
      <w:r w:rsidRPr="00CE50D8">
        <w:rPr>
          <w:rFonts w:ascii="Times New Roman" w:eastAsia="Times New Roman" w:hAnsi="Times New Roman" w:cs="Times New Roman"/>
        </w:rPr>
        <w:lastRenderedPageBreak/>
        <w:t xml:space="preserve">binding and structure-activity relationship. </w:t>
      </w:r>
      <w:r w:rsidR="00B94C08" w:rsidRPr="00CE50D8">
        <w:rPr>
          <w:rFonts w:ascii="Times New Roman" w:eastAsia="Times New Roman" w:hAnsi="Times New Roman" w:cs="Times New Roman"/>
          <w:i/>
        </w:rPr>
        <w:t xml:space="preserve">Food Funct. </w:t>
      </w:r>
      <w:r w:rsidRPr="00CE50D8">
        <w:rPr>
          <w:rFonts w:ascii="Times New Roman" w:eastAsia="Times New Roman" w:hAnsi="Times New Roman" w:cs="Times New Roman"/>
          <w:b/>
        </w:rPr>
        <w:t>2014,</w:t>
      </w:r>
      <w:r w:rsidRPr="00CE50D8">
        <w:rPr>
          <w:rFonts w:ascii="Times New Roman" w:eastAsia="Times New Roman" w:hAnsi="Times New Roman" w:cs="Times New Roman"/>
        </w:rPr>
        <w:t xml:space="preserve"> 5, (10), 2582-2589.</w:t>
      </w:r>
    </w:p>
    <w:p w14:paraId="04AFAD74" w14:textId="77777777" w:rsidR="00221BA9" w:rsidRPr="00CE50D8" w:rsidRDefault="001A0A0E">
      <w:pPr>
        <w:spacing w:line="480" w:lineRule="auto"/>
        <w:jc w:val="both"/>
        <w:rPr>
          <w:rFonts w:ascii="Times New Roman" w:eastAsia="Times New Roman" w:hAnsi="Times New Roman" w:cs="Times New Roman"/>
        </w:rPr>
      </w:pPr>
      <w:bookmarkStart w:id="59" w:name="_heading=h.19c6y18" w:colFirst="0" w:colLast="0"/>
      <w:bookmarkEnd w:id="59"/>
      <w:r w:rsidRPr="00CE50D8">
        <w:rPr>
          <w:rFonts w:ascii="Times New Roman" w:eastAsia="Times New Roman" w:hAnsi="Times New Roman" w:cs="Times New Roman"/>
        </w:rPr>
        <w:t>41.</w:t>
      </w:r>
      <w:r w:rsidRPr="00CE50D8">
        <w:rPr>
          <w:rFonts w:ascii="Times New Roman" w:eastAsia="Times New Roman" w:hAnsi="Times New Roman" w:cs="Times New Roman"/>
        </w:rPr>
        <w:tab/>
        <w:t xml:space="preserve">Wang, X.; Cao, J.; Wu, Y.; Wang, Q.; Xiao, J., Flavonoids, Antioxidant Potential, and Acetylcholinesterase Inhibition Activity of the Extracts from the Gametophyte and Archegoniophore of Marchantia polymorpha L. </w:t>
      </w:r>
      <w:r w:rsidRPr="00CE50D8">
        <w:rPr>
          <w:rFonts w:ascii="Times New Roman" w:eastAsia="Times New Roman" w:hAnsi="Times New Roman" w:cs="Times New Roman"/>
          <w:i/>
        </w:rPr>
        <w:t xml:space="preserve">Molecules </w:t>
      </w:r>
      <w:r w:rsidRPr="00CE50D8">
        <w:rPr>
          <w:rFonts w:ascii="Times New Roman" w:eastAsia="Times New Roman" w:hAnsi="Times New Roman" w:cs="Times New Roman"/>
          <w:b/>
        </w:rPr>
        <w:t>2016,</w:t>
      </w:r>
      <w:r w:rsidRPr="00CE50D8">
        <w:rPr>
          <w:rFonts w:ascii="Times New Roman" w:eastAsia="Times New Roman" w:hAnsi="Times New Roman" w:cs="Times New Roman"/>
        </w:rPr>
        <w:t xml:space="preserve"> 21, (3).</w:t>
      </w:r>
    </w:p>
    <w:p w14:paraId="629DFBCD" w14:textId="77777777" w:rsidR="00221BA9" w:rsidRPr="00CE50D8" w:rsidRDefault="001A0A0E">
      <w:pPr>
        <w:spacing w:line="480" w:lineRule="auto"/>
        <w:jc w:val="both"/>
        <w:rPr>
          <w:rFonts w:ascii="Times New Roman" w:eastAsia="Times New Roman" w:hAnsi="Times New Roman" w:cs="Times New Roman"/>
        </w:rPr>
      </w:pPr>
      <w:bookmarkStart w:id="60" w:name="_heading=h.3tbugp1" w:colFirst="0" w:colLast="0"/>
      <w:bookmarkEnd w:id="60"/>
      <w:r w:rsidRPr="00CE50D8">
        <w:rPr>
          <w:rFonts w:ascii="Times New Roman" w:eastAsia="Times New Roman" w:hAnsi="Times New Roman" w:cs="Times New Roman"/>
        </w:rPr>
        <w:t>42.</w:t>
      </w:r>
      <w:r w:rsidRPr="00CE50D8">
        <w:rPr>
          <w:rFonts w:ascii="Times New Roman" w:eastAsia="Times New Roman" w:hAnsi="Times New Roman" w:cs="Times New Roman"/>
        </w:rPr>
        <w:tab/>
        <w:t>Satheesh</w:t>
      </w:r>
      <w:r w:rsidR="00352A7C" w:rsidRPr="00CE50D8">
        <w:rPr>
          <w:rFonts w:ascii="Times New Roman" w:eastAsia="Times New Roman" w:hAnsi="Times New Roman" w:cs="Times New Roman"/>
        </w:rPr>
        <w:t xml:space="preserve"> </w:t>
      </w:r>
      <w:r w:rsidRPr="00CE50D8">
        <w:rPr>
          <w:rFonts w:ascii="Times New Roman" w:eastAsia="Times New Roman" w:hAnsi="Times New Roman" w:cs="Times New Roman"/>
        </w:rPr>
        <w:t xml:space="preserve">Kumar, N.; Mukherjee, P. K.; Bhadra, S.; Saha, B. P., Acetylcholinesterase enzyme inhibitory potential of standardized extract of Trigonella foenum graecum L and its constituents. </w:t>
      </w:r>
      <w:r w:rsidRPr="00CE50D8">
        <w:rPr>
          <w:rFonts w:ascii="Times New Roman" w:eastAsia="Times New Roman" w:hAnsi="Times New Roman" w:cs="Times New Roman"/>
          <w:i/>
        </w:rPr>
        <w:t xml:space="preserve">Phytomedicine </w:t>
      </w:r>
      <w:r w:rsidRPr="00CE50D8">
        <w:rPr>
          <w:rFonts w:ascii="Times New Roman" w:eastAsia="Times New Roman" w:hAnsi="Times New Roman" w:cs="Times New Roman"/>
          <w:b/>
        </w:rPr>
        <w:t>2010,</w:t>
      </w:r>
      <w:r w:rsidRPr="00CE50D8">
        <w:rPr>
          <w:rFonts w:ascii="Times New Roman" w:eastAsia="Times New Roman" w:hAnsi="Times New Roman" w:cs="Times New Roman"/>
        </w:rPr>
        <w:t xml:space="preserve"> 17, (3), 292-295.</w:t>
      </w:r>
    </w:p>
    <w:p w14:paraId="61D1DE4F" w14:textId="77777777" w:rsidR="00221BA9" w:rsidRPr="00CE50D8" w:rsidRDefault="001A0A0E">
      <w:pPr>
        <w:spacing w:line="480" w:lineRule="auto"/>
        <w:jc w:val="both"/>
        <w:rPr>
          <w:rFonts w:ascii="Times New Roman" w:eastAsia="Times New Roman" w:hAnsi="Times New Roman" w:cs="Times New Roman"/>
        </w:rPr>
      </w:pPr>
      <w:bookmarkStart w:id="61" w:name="_heading=h.28h4qwu" w:colFirst="0" w:colLast="0"/>
      <w:bookmarkEnd w:id="61"/>
      <w:r w:rsidRPr="00CE50D8">
        <w:rPr>
          <w:rFonts w:ascii="Times New Roman" w:eastAsia="Times New Roman" w:hAnsi="Times New Roman" w:cs="Times New Roman"/>
        </w:rPr>
        <w:t>43.</w:t>
      </w:r>
      <w:r w:rsidRPr="00CE50D8">
        <w:rPr>
          <w:rFonts w:ascii="Times New Roman" w:eastAsia="Times New Roman" w:hAnsi="Times New Roman" w:cs="Times New Roman"/>
        </w:rPr>
        <w:tab/>
        <w:t xml:space="preserve">Mukherjee, P. K.; Kumar, V.; Mal, M.; Houghton, P. J., Acetylcholinesterase inhibitors from plants. </w:t>
      </w:r>
      <w:r w:rsidRPr="00CE50D8">
        <w:rPr>
          <w:rFonts w:ascii="Times New Roman" w:eastAsia="Times New Roman" w:hAnsi="Times New Roman" w:cs="Times New Roman"/>
          <w:i/>
        </w:rPr>
        <w:t xml:space="preserve">Phytomedicine </w:t>
      </w:r>
      <w:r w:rsidRPr="00CE50D8">
        <w:rPr>
          <w:rFonts w:ascii="Times New Roman" w:eastAsia="Times New Roman" w:hAnsi="Times New Roman" w:cs="Times New Roman"/>
          <w:b/>
        </w:rPr>
        <w:t>2007,</w:t>
      </w:r>
      <w:r w:rsidRPr="00CE50D8">
        <w:rPr>
          <w:rFonts w:ascii="Times New Roman" w:eastAsia="Times New Roman" w:hAnsi="Times New Roman" w:cs="Times New Roman"/>
        </w:rPr>
        <w:t xml:space="preserve"> 14, (4), 289-300.</w:t>
      </w:r>
    </w:p>
    <w:p w14:paraId="4B4A59AF" w14:textId="094CBC90" w:rsidR="00221BA9" w:rsidRPr="00CE50D8" w:rsidRDefault="001A0A0E">
      <w:pPr>
        <w:spacing w:line="480" w:lineRule="auto"/>
        <w:jc w:val="both"/>
        <w:rPr>
          <w:rFonts w:ascii="Times New Roman" w:eastAsia="Times New Roman" w:hAnsi="Times New Roman" w:cs="Times New Roman"/>
        </w:rPr>
      </w:pPr>
      <w:bookmarkStart w:id="62" w:name="_heading=h.nmf14n" w:colFirst="0" w:colLast="0"/>
      <w:bookmarkEnd w:id="62"/>
      <w:r w:rsidRPr="00CE50D8">
        <w:rPr>
          <w:rFonts w:ascii="Times New Roman" w:eastAsia="Times New Roman" w:hAnsi="Times New Roman" w:cs="Times New Roman"/>
        </w:rPr>
        <w:t>44.</w:t>
      </w:r>
      <w:r w:rsidRPr="00CE50D8">
        <w:rPr>
          <w:rFonts w:ascii="Times New Roman" w:eastAsia="Times New Roman" w:hAnsi="Times New Roman" w:cs="Times New Roman"/>
        </w:rPr>
        <w:tab/>
        <w:t xml:space="preserve">Marco, J. L.; de los Rı́os, C.; Carreiras, M. a. C.; Baños, J. E.; Badı́a, A.; Vivas, N. M., Synthesis and acetylcholinesterase/butyrylcholinesterase inhibition activity of new tacrine-like analogues. </w:t>
      </w:r>
      <w:r w:rsidR="00B94C08" w:rsidRPr="00CE50D8">
        <w:rPr>
          <w:rFonts w:ascii="Times New Roman" w:eastAsia="Times New Roman" w:hAnsi="Times New Roman" w:cs="Times New Roman"/>
          <w:i/>
        </w:rPr>
        <w:t xml:space="preserve">Bioorg. Med. Chem. </w:t>
      </w:r>
      <w:r w:rsidRPr="00CE50D8">
        <w:rPr>
          <w:rFonts w:ascii="Times New Roman" w:eastAsia="Times New Roman" w:hAnsi="Times New Roman" w:cs="Times New Roman"/>
          <w:b/>
        </w:rPr>
        <w:t>2001,</w:t>
      </w:r>
      <w:r w:rsidRPr="00CE50D8">
        <w:rPr>
          <w:rFonts w:ascii="Times New Roman" w:eastAsia="Times New Roman" w:hAnsi="Times New Roman" w:cs="Times New Roman"/>
        </w:rPr>
        <w:t xml:space="preserve"> 9, (3), 727-732.</w:t>
      </w:r>
    </w:p>
    <w:p w14:paraId="7E5F785F" w14:textId="414EFB04" w:rsidR="00221BA9" w:rsidRPr="00CE50D8" w:rsidRDefault="001A0A0E">
      <w:pPr>
        <w:spacing w:line="480" w:lineRule="auto"/>
        <w:jc w:val="both"/>
        <w:rPr>
          <w:rFonts w:ascii="Times New Roman" w:eastAsia="Times New Roman" w:hAnsi="Times New Roman" w:cs="Times New Roman"/>
        </w:rPr>
      </w:pPr>
      <w:bookmarkStart w:id="63" w:name="_heading=h.37m2jsg" w:colFirst="0" w:colLast="0"/>
      <w:bookmarkEnd w:id="63"/>
      <w:r w:rsidRPr="00CE50D8">
        <w:rPr>
          <w:rFonts w:ascii="Times New Roman" w:eastAsia="Times New Roman" w:hAnsi="Times New Roman" w:cs="Times New Roman"/>
        </w:rPr>
        <w:t>45.</w:t>
      </w:r>
      <w:r w:rsidRPr="00CE50D8">
        <w:rPr>
          <w:rFonts w:ascii="Times New Roman" w:eastAsia="Times New Roman" w:hAnsi="Times New Roman" w:cs="Times New Roman"/>
        </w:rPr>
        <w:tab/>
        <w:t xml:space="preserve">Francisco, W.; Pivatto, M.; Danuello, A.; Regasini, L. O.; Baccini, L. R.; Young, M. C. M.; Lopes, N. P.; Lopes, J. L. C.; Bolzani, V. S., Pyridine Alkaloids from Senna multijuga As Acetylcholinesterase Inhibitors. </w:t>
      </w:r>
      <w:r w:rsidR="00B94C08" w:rsidRPr="00CE50D8">
        <w:rPr>
          <w:rFonts w:ascii="Times New Roman" w:eastAsia="Times New Roman" w:hAnsi="Times New Roman" w:cs="Times New Roman"/>
          <w:i/>
        </w:rPr>
        <w:t>J. Nat. Prod.</w:t>
      </w:r>
      <w:r w:rsidR="00B94C08"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2012,</w:t>
      </w:r>
      <w:r w:rsidRPr="00CE50D8">
        <w:rPr>
          <w:rFonts w:ascii="Times New Roman" w:eastAsia="Times New Roman" w:hAnsi="Times New Roman" w:cs="Times New Roman"/>
        </w:rPr>
        <w:t xml:space="preserve"> 75, (3), 408-413.</w:t>
      </w:r>
    </w:p>
    <w:p w14:paraId="2F99C0A2" w14:textId="691F7B4B" w:rsidR="00221BA9" w:rsidRPr="00CE50D8" w:rsidRDefault="001A0A0E">
      <w:pPr>
        <w:spacing w:line="480" w:lineRule="auto"/>
        <w:jc w:val="both"/>
        <w:rPr>
          <w:rFonts w:ascii="Times New Roman" w:eastAsia="Times New Roman" w:hAnsi="Times New Roman" w:cs="Times New Roman"/>
        </w:rPr>
      </w:pPr>
      <w:bookmarkStart w:id="64" w:name="_heading=h.1mrcu09" w:colFirst="0" w:colLast="0"/>
      <w:bookmarkEnd w:id="64"/>
      <w:r w:rsidRPr="00CE50D8">
        <w:rPr>
          <w:rFonts w:ascii="Times New Roman" w:eastAsia="Times New Roman" w:hAnsi="Times New Roman" w:cs="Times New Roman"/>
        </w:rPr>
        <w:t>46.</w:t>
      </w:r>
      <w:r w:rsidRPr="00CE50D8">
        <w:rPr>
          <w:rFonts w:ascii="Times New Roman" w:eastAsia="Times New Roman" w:hAnsi="Times New Roman" w:cs="Times New Roman"/>
        </w:rPr>
        <w:tab/>
        <w:t xml:space="preserve">Barreiro, E. J.; Camara, C. A.; Verli, H.; Brazil-Más, L.; Castro, N. G.; Cintra, W. M.; Aracava, Y.; Rodrigues, C. R.; Fraga, C. A. M., Design, Synthesis, and Pharmacological Profile of Novel Fused Pyrazolo[4,3-d]pyridine and Pyrazolo[3,4-b][1,8]naphthyridine Isosteres:  A New Class of Potent and Selective Acetylcholinesterase Inhibitors. </w:t>
      </w:r>
      <w:r w:rsidRPr="00CE50D8">
        <w:rPr>
          <w:rFonts w:ascii="Times New Roman" w:eastAsia="Times New Roman" w:hAnsi="Times New Roman" w:cs="Times New Roman"/>
          <w:i/>
        </w:rPr>
        <w:t>J</w:t>
      </w:r>
      <w:r w:rsidR="00B94C08" w:rsidRPr="00CE50D8">
        <w:rPr>
          <w:rFonts w:ascii="Times New Roman" w:eastAsia="Times New Roman" w:hAnsi="Times New Roman" w:cs="Times New Roman"/>
          <w:i/>
        </w:rPr>
        <w:t xml:space="preserve">. </w:t>
      </w:r>
      <w:r w:rsidRPr="00CE50D8">
        <w:rPr>
          <w:rFonts w:ascii="Times New Roman" w:eastAsia="Times New Roman" w:hAnsi="Times New Roman" w:cs="Times New Roman"/>
          <w:i/>
        </w:rPr>
        <w:t>Med</w:t>
      </w:r>
      <w:r w:rsidR="00B94C08" w:rsidRPr="00CE50D8">
        <w:rPr>
          <w:rFonts w:ascii="Times New Roman" w:eastAsia="Times New Roman" w:hAnsi="Times New Roman" w:cs="Times New Roman"/>
          <w:i/>
        </w:rPr>
        <w:t xml:space="preserve">. </w:t>
      </w:r>
      <w:r w:rsidRPr="00CE50D8">
        <w:rPr>
          <w:rFonts w:ascii="Times New Roman" w:eastAsia="Times New Roman" w:hAnsi="Times New Roman" w:cs="Times New Roman"/>
          <w:i/>
        </w:rPr>
        <w:t>Chem</w:t>
      </w:r>
      <w:r w:rsidR="00B94C08"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2003,</w:t>
      </w:r>
      <w:r w:rsidRPr="00CE50D8">
        <w:rPr>
          <w:rFonts w:ascii="Times New Roman" w:eastAsia="Times New Roman" w:hAnsi="Times New Roman" w:cs="Times New Roman"/>
        </w:rPr>
        <w:t xml:space="preserve"> 46, (7), 1144-1152.</w:t>
      </w:r>
    </w:p>
    <w:p w14:paraId="387FE4E3" w14:textId="79A0BD5E" w:rsidR="00221BA9" w:rsidRPr="00CE50D8" w:rsidRDefault="001A0A0E">
      <w:pPr>
        <w:spacing w:line="480" w:lineRule="auto"/>
        <w:jc w:val="both"/>
        <w:rPr>
          <w:rFonts w:ascii="Times New Roman" w:eastAsia="Times New Roman" w:hAnsi="Times New Roman" w:cs="Times New Roman"/>
        </w:rPr>
      </w:pPr>
      <w:bookmarkStart w:id="65" w:name="_heading=h.46r0co2" w:colFirst="0" w:colLast="0"/>
      <w:bookmarkEnd w:id="65"/>
      <w:r w:rsidRPr="00CE50D8">
        <w:rPr>
          <w:rFonts w:ascii="Times New Roman" w:eastAsia="Times New Roman" w:hAnsi="Times New Roman" w:cs="Times New Roman"/>
        </w:rPr>
        <w:t>47.</w:t>
      </w:r>
      <w:r w:rsidRPr="00CE50D8">
        <w:rPr>
          <w:rFonts w:ascii="Times New Roman" w:eastAsia="Times New Roman" w:hAnsi="Times New Roman" w:cs="Times New Roman"/>
        </w:rPr>
        <w:tab/>
        <w:t xml:space="preserve">Galgani, F.; Bocquene, G., In Vitro inhibition of acetylcholinesterase from four marine species by organophosphates and carbamates. </w:t>
      </w:r>
      <w:r w:rsidR="00B94C08" w:rsidRPr="00CE50D8">
        <w:rPr>
          <w:rFonts w:ascii="Times New Roman" w:eastAsia="Times New Roman" w:hAnsi="Times New Roman" w:cs="Times New Roman"/>
          <w:i/>
        </w:rPr>
        <w:t>Bull. Environ. Contam. Toxicol.</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1990,</w:t>
      </w:r>
      <w:r w:rsidRPr="00CE50D8">
        <w:rPr>
          <w:rFonts w:ascii="Times New Roman" w:eastAsia="Times New Roman" w:hAnsi="Times New Roman" w:cs="Times New Roman"/>
        </w:rPr>
        <w:t xml:space="preserve"> 45, (2), 243-249.</w:t>
      </w:r>
    </w:p>
    <w:p w14:paraId="1D7CB0BC" w14:textId="77777777" w:rsidR="00221BA9" w:rsidRPr="00CE50D8" w:rsidRDefault="001A0A0E">
      <w:pPr>
        <w:spacing w:line="480" w:lineRule="auto"/>
        <w:jc w:val="both"/>
        <w:rPr>
          <w:rFonts w:ascii="Times New Roman" w:eastAsia="Times New Roman" w:hAnsi="Times New Roman" w:cs="Times New Roman"/>
        </w:rPr>
      </w:pPr>
      <w:bookmarkStart w:id="66" w:name="_heading=h.2lwamvv" w:colFirst="0" w:colLast="0"/>
      <w:bookmarkEnd w:id="66"/>
      <w:r w:rsidRPr="00CE50D8">
        <w:rPr>
          <w:rFonts w:ascii="Times New Roman" w:eastAsia="Times New Roman" w:hAnsi="Times New Roman" w:cs="Times New Roman"/>
        </w:rPr>
        <w:t>48.</w:t>
      </w:r>
      <w:r w:rsidRPr="00CE50D8">
        <w:rPr>
          <w:rFonts w:ascii="Times New Roman" w:eastAsia="Times New Roman" w:hAnsi="Times New Roman" w:cs="Times New Roman"/>
        </w:rPr>
        <w:tab/>
        <w:t xml:space="preserve">Storm, J. E.; Rozman, K. K.; Doull, J., Occupational exposure limits for 30 organophosphate pesticides based on inhibition of red blood cell acetylcholinesterase. </w:t>
      </w:r>
      <w:r w:rsidRPr="00CE50D8">
        <w:rPr>
          <w:rFonts w:ascii="Times New Roman" w:eastAsia="Times New Roman" w:hAnsi="Times New Roman" w:cs="Times New Roman"/>
          <w:i/>
        </w:rPr>
        <w:lastRenderedPageBreak/>
        <w:t xml:space="preserve">Toxicology </w:t>
      </w:r>
      <w:r w:rsidRPr="00CE50D8">
        <w:rPr>
          <w:rFonts w:ascii="Times New Roman" w:eastAsia="Times New Roman" w:hAnsi="Times New Roman" w:cs="Times New Roman"/>
          <w:b/>
        </w:rPr>
        <w:t>2000,</w:t>
      </w:r>
      <w:r w:rsidRPr="00CE50D8">
        <w:rPr>
          <w:rFonts w:ascii="Times New Roman" w:eastAsia="Times New Roman" w:hAnsi="Times New Roman" w:cs="Times New Roman"/>
        </w:rPr>
        <w:t xml:space="preserve"> 150, (1), 1-29.</w:t>
      </w:r>
    </w:p>
    <w:p w14:paraId="5394CEB9" w14:textId="024DE166" w:rsidR="00221BA9" w:rsidRPr="00CE50D8" w:rsidRDefault="001A0A0E">
      <w:pPr>
        <w:spacing w:line="480" w:lineRule="auto"/>
        <w:jc w:val="both"/>
        <w:rPr>
          <w:rFonts w:ascii="Times New Roman" w:eastAsia="Times New Roman" w:hAnsi="Times New Roman" w:cs="Times New Roman"/>
        </w:rPr>
      </w:pPr>
      <w:bookmarkStart w:id="67" w:name="_heading=h.111kx3o" w:colFirst="0" w:colLast="0"/>
      <w:bookmarkEnd w:id="67"/>
      <w:r w:rsidRPr="00CE50D8">
        <w:rPr>
          <w:rFonts w:ascii="Times New Roman" w:eastAsia="Times New Roman" w:hAnsi="Times New Roman" w:cs="Times New Roman"/>
        </w:rPr>
        <w:t>49.</w:t>
      </w:r>
      <w:r w:rsidRPr="00CE50D8">
        <w:rPr>
          <w:rFonts w:ascii="Times New Roman" w:eastAsia="Times New Roman" w:hAnsi="Times New Roman" w:cs="Times New Roman"/>
        </w:rPr>
        <w:tab/>
        <w:t xml:space="preserve">Guyton, K. Z.; Loomis, D.; Grosse, Y.; El Ghissassi, F.; Benbrahim-Tallaa, L.; Guha, N.; Scoccianti, C.; Mattock, H.; Straif, K., Carcinogenicity of tetrachlorvinphos, parathion, malathion, diazinon, and glyphosate. </w:t>
      </w:r>
      <w:r w:rsidR="00B94C08" w:rsidRPr="00CE50D8">
        <w:rPr>
          <w:rFonts w:ascii="Times New Roman" w:eastAsia="Times New Roman" w:hAnsi="Times New Roman" w:cs="Times New Roman"/>
          <w:i/>
        </w:rPr>
        <w:tab/>
        <w:t xml:space="preserve">Lancet Oncol. </w:t>
      </w:r>
      <w:r w:rsidRPr="00CE50D8">
        <w:rPr>
          <w:rFonts w:ascii="Times New Roman" w:eastAsia="Times New Roman" w:hAnsi="Times New Roman" w:cs="Times New Roman"/>
          <w:b/>
        </w:rPr>
        <w:t>2015,</w:t>
      </w:r>
      <w:r w:rsidRPr="00CE50D8">
        <w:rPr>
          <w:rFonts w:ascii="Times New Roman" w:eastAsia="Times New Roman" w:hAnsi="Times New Roman" w:cs="Times New Roman"/>
        </w:rPr>
        <w:t xml:space="preserve"> 16, (5), 490-491.</w:t>
      </w:r>
    </w:p>
    <w:p w14:paraId="0ECB726A" w14:textId="5E45A326" w:rsidR="00221BA9" w:rsidRPr="00CE50D8" w:rsidRDefault="001A0A0E">
      <w:pPr>
        <w:spacing w:line="480" w:lineRule="auto"/>
        <w:jc w:val="both"/>
        <w:rPr>
          <w:rFonts w:ascii="Times New Roman" w:eastAsia="Times New Roman" w:hAnsi="Times New Roman" w:cs="Times New Roman"/>
        </w:rPr>
      </w:pPr>
      <w:bookmarkStart w:id="68" w:name="_heading=h.3l18frh" w:colFirst="0" w:colLast="0"/>
      <w:bookmarkEnd w:id="68"/>
      <w:r w:rsidRPr="00CE50D8">
        <w:rPr>
          <w:rFonts w:ascii="Times New Roman" w:eastAsia="Times New Roman" w:hAnsi="Times New Roman" w:cs="Times New Roman"/>
        </w:rPr>
        <w:t>50.</w:t>
      </w:r>
      <w:r w:rsidRPr="00CE50D8">
        <w:rPr>
          <w:rFonts w:ascii="Times New Roman" w:eastAsia="Times New Roman" w:hAnsi="Times New Roman" w:cs="Times New Roman"/>
        </w:rPr>
        <w:tab/>
        <w:t xml:space="preserve">Cabello, G.; Valenzuela, M.; Vilaxa, A.; Durán, V.; Rudolph, I.; Hrepic, N.; Calaf, G., A rat mammary tumor model induced by the organophosphorous pesticides parathion and malathion, possibly through acetylcholinesterase inhibition. </w:t>
      </w:r>
      <w:r w:rsidR="00866F2B" w:rsidRPr="00CE50D8">
        <w:rPr>
          <w:rFonts w:ascii="Times New Roman" w:eastAsia="Times New Roman" w:hAnsi="Times New Roman" w:cs="Times New Roman"/>
          <w:i/>
        </w:rPr>
        <w:t>Environ. Health Perspect.</w:t>
      </w:r>
      <w:r w:rsidR="00866F2B"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2001,</w:t>
      </w:r>
      <w:r w:rsidRPr="00CE50D8">
        <w:rPr>
          <w:rFonts w:ascii="Times New Roman" w:eastAsia="Times New Roman" w:hAnsi="Times New Roman" w:cs="Times New Roman"/>
        </w:rPr>
        <w:t xml:space="preserve"> 109, (5), 471-479.</w:t>
      </w:r>
    </w:p>
    <w:p w14:paraId="2DF112DE" w14:textId="4566B3F1" w:rsidR="00221BA9" w:rsidRPr="00CE50D8" w:rsidRDefault="001A0A0E">
      <w:pPr>
        <w:spacing w:line="480" w:lineRule="auto"/>
        <w:jc w:val="both"/>
        <w:rPr>
          <w:rFonts w:ascii="Times New Roman" w:eastAsia="Times New Roman" w:hAnsi="Times New Roman" w:cs="Times New Roman"/>
        </w:rPr>
      </w:pPr>
      <w:bookmarkStart w:id="69" w:name="_heading=h.206ipza" w:colFirst="0" w:colLast="0"/>
      <w:bookmarkEnd w:id="69"/>
      <w:r w:rsidRPr="00CE50D8">
        <w:rPr>
          <w:rFonts w:ascii="Times New Roman" w:eastAsia="Times New Roman" w:hAnsi="Times New Roman" w:cs="Times New Roman"/>
        </w:rPr>
        <w:t>51.</w:t>
      </w:r>
      <w:r w:rsidRPr="00CE50D8">
        <w:rPr>
          <w:rFonts w:ascii="Times New Roman" w:eastAsia="Times New Roman" w:hAnsi="Times New Roman" w:cs="Times New Roman"/>
        </w:rPr>
        <w:tab/>
        <w:t xml:space="preserve">Sakayanathan, P.; Loganathan, C.; Kandasamy, S.; Ramanna, R. V.; Poomani, K.; Thayumanavan, P., In vitro and in silico analysis of novel astaxanthin-s-allyl cysteine as an inhibitor of butyrylcholinesterase and various globular forms of acetylcholinesterases. </w:t>
      </w:r>
      <w:r w:rsidR="00866F2B" w:rsidRPr="00CE50D8">
        <w:rPr>
          <w:rFonts w:ascii="Times New Roman" w:eastAsia="Times New Roman" w:hAnsi="Times New Roman" w:cs="Times New Roman"/>
          <w:i/>
        </w:rPr>
        <w:t>Int. J. Biol. Macromol.</w:t>
      </w:r>
      <w:r w:rsidR="00866F2B"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2019,</w:t>
      </w:r>
      <w:r w:rsidRPr="00CE50D8">
        <w:rPr>
          <w:rFonts w:ascii="Times New Roman" w:eastAsia="Times New Roman" w:hAnsi="Times New Roman" w:cs="Times New Roman"/>
        </w:rPr>
        <w:t xml:space="preserve"> 140, 1147-1157.</w:t>
      </w:r>
    </w:p>
    <w:p w14:paraId="146D97A2" w14:textId="17C24C57" w:rsidR="00221BA9" w:rsidRPr="00CE50D8" w:rsidRDefault="001A0A0E">
      <w:pPr>
        <w:spacing w:line="480" w:lineRule="auto"/>
        <w:jc w:val="both"/>
        <w:rPr>
          <w:rFonts w:ascii="Times New Roman" w:eastAsia="Times New Roman" w:hAnsi="Times New Roman" w:cs="Times New Roman"/>
        </w:rPr>
      </w:pPr>
      <w:bookmarkStart w:id="70" w:name="_heading=h.4k668n3" w:colFirst="0" w:colLast="0"/>
      <w:bookmarkEnd w:id="70"/>
      <w:r w:rsidRPr="00CE50D8">
        <w:rPr>
          <w:rFonts w:ascii="Times New Roman" w:eastAsia="Times New Roman" w:hAnsi="Times New Roman" w:cs="Times New Roman"/>
        </w:rPr>
        <w:t>52.</w:t>
      </w:r>
      <w:r w:rsidRPr="00CE50D8">
        <w:rPr>
          <w:rFonts w:ascii="Times New Roman" w:eastAsia="Times New Roman" w:hAnsi="Times New Roman" w:cs="Times New Roman"/>
        </w:rPr>
        <w:tab/>
        <w:t xml:space="preserve">Chen, K.-L.; Gan, L.; Wu, Z.-H.; Qin, J.-F.; Liao, W.-X.; Tang, H., 4- Substituted sampangine derivatives: Novel acetylcholinesterase and β-myloid aggregation inhibitors. </w:t>
      </w:r>
      <w:r w:rsidR="00866F2B" w:rsidRPr="00CE50D8">
        <w:rPr>
          <w:rFonts w:ascii="Times New Roman" w:eastAsia="Times New Roman" w:hAnsi="Times New Roman" w:cs="Times New Roman"/>
          <w:i/>
        </w:rPr>
        <w:t>Int. J. Biol. Macromol.</w:t>
      </w:r>
      <w:r w:rsidR="00866F2B"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2018,</w:t>
      </w:r>
      <w:r w:rsidRPr="00CE50D8">
        <w:rPr>
          <w:rFonts w:ascii="Times New Roman" w:eastAsia="Times New Roman" w:hAnsi="Times New Roman" w:cs="Times New Roman"/>
        </w:rPr>
        <w:t xml:space="preserve"> 107, 2725-2729.</w:t>
      </w:r>
    </w:p>
    <w:p w14:paraId="4B5ED22E" w14:textId="22CF7C53" w:rsidR="00221BA9" w:rsidRPr="00CE50D8" w:rsidRDefault="001A0A0E">
      <w:pPr>
        <w:spacing w:line="480" w:lineRule="auto"/>
        <w:jc w:val="both"/>
        <w:rPr>
          <w:rFonts w:ascii="Times New Roman" w:eastAsia="Times New Roman" w:hAnsi="Times New Roman" w:cs="Times New Roman"/>
        </w:rPr>
      </w:pPr>
      <w:bookmarkStart w:id="71" w:name="_heading=h.2zbgiuw" w:colFirst="0" w:colLast="0"/>
      <w:bookmarkEnd w:id="71"/>
      <w:r w:rsidRPr="00CE50D8">
        <w:rPr>
          <w:rFonts w:ascii="Times New Roman" w:eastAsia="Times New Roman" w:hAnsi="Times New Roman" w:cs="Times New Roman"/>
        </w:rPr>
        <w:t>53.</w:t>
      </w:r>
      <w:r w:rsidRPr="00CE50D8">
        <w:rPr>
          <w:rFonts w:ascii="Times New Roman" w:eastAsia="Times New Roman" w:hAnsi="Times New Roman" w:cs="Times New Roman"/>
        </w:rPr>
        <w:tab/>
        <w:t xml:space="preserve">Topal, F.; Gulcin, I.; Dastan, A.; Guney, M., Novel eugenol derivatives: Potent acetylcholinesterase and carbonic anhydrase inhibitors. </w:t>
      </w:r>
      <w:r w:rsidR="00866F2B" w:rsidRPr="00CE50D8">
        <w:rPr>
          <w:rFonts w:ascii="Times New Roman" w:eastAsia="Times New Roman" w:hAnsi="Times New Roman" w:cs="Times New Roman"/>
          <w:i/>
        </w:rPr>
        <w:t>Int. J. Biol. Macromol.</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2017,</w:t>
      </w:r>
      <w:r w:rsidRPr="00CE50D8">
        <w:rPr>
          <w:rFonts w:ascii="Times New Roman" w:eastAsia="Times New Roman" w:hAnsi="Times New Roman" w:cs="Times New Roman"/>
        </w:rPr>
        <w:t xml:space="preserve"> 94, 845-851.</w:t>
      </w:r>
    </w:p>
    <w:p w14:paraId="0FB20E9F" w14:textId="25A3B80B" w:rsidR="00221BA9" w:rsidRPr="00CE50D8" w:rsidRDefault="001A0A0E">
      <w:pPr>
        <w:spacing w:line="480" w:lineRule="auto"/>
        <w:jc w:val="both"/>
        <w:rPr>
          <w:rFonts w:ascii="Times New Roman" w:eastAsia="Times New Roman" w:hAnsi="Times New Roman" w:cs="Times New Roman"/>
        </w:rPr>
      </w:pPr>
      <w:bookmarkStart w:id="72" w:name="_heading=h.1egqt2p" w:colFirst="0" w:colLast="0"/>
      <w:bookmarkEnd w:id="72"/>
      <w:r w:rsidRPr="00CE50D8">
        <w:rPr>
          <w:rFonts w:ascii="Times New Roman" w:eastAsia="Times New Roman" w:hAnsi="Times New Roman" w:cs="Times New Roman"/>
        </w:rPr>
        <w:t>54.</w:t>
      </w:r>
      <w:r w:rsidRPr="00CE50D8">
        <w:rPr>
          <w:rFonts w:ascii="Times New Roman" w:eastAsia="Times New Roman" w:hAnsi="Times New Roman" w:cs="Times New Roman"/>
        </w:rPr>
        <w:tab/>
        <w:t xml:space="preserve">Hamulakova, S.; Janovec, L.; Soukup, O.; Jun, D.; Kuca, K., Synthesis, in vitro acetylcholinesterase inhibitory activity and molecular docking of new acridine-coumarin hybrids. </w:t>
      </w:r>
      <w:r w:rsidR="00866F2B" w:rsidRPr="00CE50D8">
        <w:rPr>
          <w:rFonts w:ascii="Times New Roman" w:eastAsia="Times New Roman" w:hAnsi="Times New Roman" w:cs="Times New Roman"/>
          <w:i/>
        </w:rPr>
        <w:t>Int. J. Biol. Macromol.</w:t>
      </w:r>
      <w:r w:rsidR="00866F2B"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2017,</w:t>
      </w:r>
      <w:r w:rsidRPr="00CE50D8">
        <w:rPr>
          <w:rFonts w:ascii="Times New Roman" w:eastAsia="Times New Roman" w:hAnsi="Times New Roman" w:cs="Times New Roman"/>
        </w:rPr>
        <w:t xml:space="preserve"> 104, 333-338.</w:t>
      </w:r>
    </w:p>
    <w:p w14:paraId="3CE7B06B" w14:textId="7A3AEDC2" w:rsidR="00221BA9" w:rsidRPr="00CE50D8" w:rsidRDefault="001A0A0E">
      <w:pPr>
        <w:spacing w:line="480" w:lineRule="auto"/>
        <w:jc w:val="both"/>
        <w:rPr>
          <w:rFonts w:ascii="Times New Roman" w:eastAsia="Times New Roman" w:hAnsi="Times New Roman" w:cs="Times New Roman"/>
        </w:rPr>
      </w:pPr>
      <w:bookmarkStart w:id="73" w:name="_heading=h.3ygebqi" w:colFirst="0" w:colLast="0"/>
      <w:bookmarkEnd w:id="73"/>
      <w:r w:rsidRPr="00CE50D8">
        <w:rPr>
          <w:rFonts w:ascii="Times New Roman" w:eastAsia="Times New Roman" w:hAnsi="Times New Roman" w:cs="Times New Roman"/>
        </w:rPr>
        <w:t>55.</w:t>
      </w:r>
      <w:r w:rsidRPr="00CE50D8">
        <w:rPr>
          <w:rFonts w:ascii="Times New Roman" w:eastAsia="Times New Roman" w:hAnsi="Times New Roman" w:cs="Times New Roman"/>
        </w:rPr>
        <w:tab/>
        <w:t xml:space="preserve">Kuppusamy, A.; Arumugam, M.; George, S., Combining in silico and in vitro approaches to evaluate the acetylcholinesterase inhibitory profile of some commercially available flavonoids in the management of Alzheimer’s disease. </w:t>
      </w:r>
      <w:r w:rsidR="00866F2B" w:rsidRPr="00CE50D8">
        <w:rPr>
          <w:rFonts w:ascii="Times New Roman" w:eastAsia="Times New Roman" w:hAnsi="Times New Roman" w:cs="Times New Roman"/>
          <w:i/>
        </w:rPr>
        <w:t>Int. J. Biol. Macromol.</w:t>
      </w:r>
      <w:r w:rsidR="00866F2B"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2017,</w:t>
      </w:r>
      <w:r w:rsidRPr="00CE50D8">
        <w:rPr>
          <w:rFonts w:ascii="Times New Roman" w:eastAsia="Times New Roman" w:hAnsi="Times New Roman" w:cs="Times New Roman"/>
        </w:rPr>
        <w:t xml:space="preserve"> 95, 199-203.</w:t>
      </w:r>
    </w:p>
    <w:p w14:paraId="1F67DDBA" w14:textId="1850584E" w:rsidR="00221BA9" w:rsidRPr="00CE50D8" w:rsidRDefault="001A0A0E">
      <w:pPr>
        <w:spacing w:line="480" w:lineRule="auto"/>
        <w:jc w:val="both"/>
        <w:rPr>
          <w:rFonts w:ascii="Times New Roman" w:eastAsia="Times New Roman" w:hAnsi="Times New Roman" w:cs="Times New Roman"/>
        </w:rPr>
      </w:pPr>
      <w:bookmarkStart w:id="74" w:name="_heading=h.2dlolyb" w:colFirst="0" w:colLast="0"/>
      <w:bookmarkEnd w:id="74"/>
      <w:r w:rsidRPr="00CE50D8">
        <w:rPr>
          <w:rFonts w:ascii="Times New Roman" w:eastAsia="Times New Roman" w:hAnsi="Times New Roman" w:cs="Times New Roman"/>
        </w:rPr>
        <w:lastRenderedPageBreak/>
        <w:t>56.</w:t>
      </w:r>
      <w:r w:rsidRPr="00CE50D8">
        <w:rPr>
          <w:rFonts w:ascii="Times New Roman" w:eastAsia="Times New Roman" w:hAnsi="Times New Roman" w:cs="Times New Roman"/>
        </w:rPr>
        <w:tab/>
        <w:t xml:space="preserve">Pushpakom, S.; Iorio, F.; Eyers, P. A.; Escott, K. J.; Hopper, S.; Wells, A.; Doig, A.; Guilliams, T.; Latimer, J.; McNamee, C.; Norris, A.; Sanseau, P.; Cavalla, D.; Pirmohamed, M., Drug repurposing: progress, challenges and recommendations. </w:t>
      </w:r>
      <w:r w:rsidR="00866F2B" w:rsidRPr="00CE50D8">
        <w:rPr>
          <w:rFonts w:ascii="Times New Roman" w:eastAsia="Times New Roman" w:hAnsi="Times New Roman" w:cs="Times New Roman"/>
          <w:i/>
        </w:rPr>
        <w:t>Nat. Rev. Drug Discovery</w:t>
      </w:r>
      <w:r w:rsidR="00866F2B"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2018,</w:t>
      </w:r>
      <w:r w:rsidRPr="00CE50D8">
        <w:rPr>
          <w:rFonts w:ascii="Times New Roman" w:eastAsia="Times New Roman" w:hAnsi="Times New Roman" w:cs="Times New Roman"/>
        </w:rPr>
        <w:t xml:space="preserve"> 18, 41.</w:t>
      </w:r>
    </w:p>
    <w:p w14:paraId="6EB1EEC7" w14:textId="1289280B" w:rsidR="00221BA9" w:rsidRPr="00CE50D8" w:rsidRDefault="001A0A0E">
      <w:pPr>
        <w:spacing w:line="480" w:lineRule="auto"/>
        <w:jc w:val="both"/>
        <w:rPr>
          <w:rFonts w:ascii="Times New Roman" w:eastAsia="Times New Roman" w:hAnsi="Times New Roman" w:cs="Times New Roman"/>
        </w:rPr>
      </w:pPr>
      <w:bookmarkStart w:id="75" w:name="_heading=h.sqyw64" w:colFirst="0" w:colLast="0"/>
      <w:bookmarkEnd w:id="75"/>
      <w:r w:rsidRPr="00CE50D8">
        <w:rPr>
          <w:rFonts w:ascii="Times New Roman" w:eastAsia="Times New Roman" w:hAnsi="Times New Roman" w:cs="Times New Roman"/>
        </w:rPr>
        <w:t>57.</w:t>
      </w:r>
      <w:r w:rsidRPr="00CE50D8">
        <w:rPr>
          <w:rFonts w:ascii="Times New Roman" w:eastAsia="Times New Roman" w:hAnsi="Times New Roman" w:cs="Times New Roman"/>
        </w:rPr>
        <w:tab/>
        <w:t xml:space="preserve">Wishart, D. S.; Feunang, Y. D.; Guo, A. C.; Lo, E. J.; Marcu, A.; Grant, J. R.; Sajed, T.; Johnson, D.; Li, C.; Sayeeda, Z.; Assempour, N.; Iynkkaran, I.; Liu, Y.; Maciejewski, A.; Gale, N.; Wilson, A.; Chin, L.; Cummings, R.; Le, D.; Pon, A.; Knox, C.; Wilson, M., DrugBank 5.0: a major update to the DrugBank database for 2018. </w:t>
      </w:r>
      <w:r w:rsidR="00866F2B" w:rsidRPr="00CE50D8">
        <w:rPr>
          <w:rFonts w:ascii="Times New Roman" w:eastAsia="Times New Roman" w:hAnsi="Times New Roman" w:cs="Times New Roman"/>
          <w:i/>
        </w:rPr>
        <w:t>Nucleic Acids Res.</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2017,</w:t>
      </w:r>
      <w:r w:rsidRPr="00CE50D8">
        <w:rPr>
          <w:rFonts w:ascii="Times New Roman" w:eastAsia="Times New Roman" w:hAnsi="Times New Roman" w:cs="Times New Roman"/>
        </w:rPr>
        <w:t xml:space="preserve"> 46, (D1), D1074-D1082.</w:t>
      </w:r>
    </w:p>
    <w:p w14:paraId="3B2229B3" w14:textId="12927BA4" w:rsidR="00221BA9" w:rsidRPr="00CE50D8" w:rsidRDefault="001A0A0E">
      <w:pPr>
        <w:spacing w:line="480" w:lineRule="auto"/>
        <w:jc w:val="both"/>
        <w:rPr>
          <w:rFonts w:ascii="Times New Roman" w:eastAsia="Times New Roman" w:hAnsi="Times New Roman" w:cs="Times New Roman"/>
        </w:rPr>
      </w:pPr>
      <w:bookmarkStart w:id="76" w:name="_heading=h.3cqmetx" w:colFirst="0" w:colLast="0"/>
      <w:bookmarkEnd w:id="76"/>
      <w:r w:rsidRPr="00CE50D8">
        <w:rPr>
          <w:rFonts w:ascii="Times New Roman" w:eastAsia="Times New Roman" w:hAnsi="Times New Roman" w:cs="Times New Roman"/>
        </w:rPr>
        <w:t>58.</w:t>
      </w:r>
      <w:r w:rsidRPr="00CE50D8">
        <w:rPr>
          <w:rFonts w:ascii="Times New Roman" w:eastAsia="Times New Roman" w:hAnsi="Times New Roman" w:cs="Times New Roman"/>
        </w:rPr>
        <w:tab/>
        <w:t xml:space="preserve">Maciejewski, A.; Tang, A.; Guo, A. C.; Han, B.; Ly, C.; Knox, C.; Arndt, D.; Gabriel, G.; Wilson, M.; Adamjee, S.; Jewison, T.; Neveu, V.; Law, V.; Djoumbou, Y.; Liu, Y.; Zhou, Y.; Dame, Z. T.; Wishart, D. S., DrugBank 4.0: shedding new light on drug metabolism. </w:t>
      </w:r>
      <w:r w:rsidR="00866F2B" w:rsidRPr="00CE50D8">
        <w:rPr>
          <w:rFonts w:ascii="Times New Roman" w:eastAsia="Times New Roman" w:hAnsi="Times New Roman" w:cs="Times New Roman"/>
          <w:i/>
        </w:rPr>
        <w:t>Nucleic Acids Res.</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2013,</w:t>
      </w:r>
      <w:r w:rsidRPr="00CE50D8">
        <w:rPr>
          <w:rFonts w:ascii="Times New Roman" w:eastAsia="Times New Roman" w:hAnsi="Times New Roman" w:cs="Times New Roman"/>
        </w:rPr>
        <w:t xml:space="preserve"> 42, (D1), D1091-D1097.</w:t>
      </w:r>
    </w:p>
    <w:p w14:paraId="28A696F7" w14:textId="77777777" w:rsidR="00221BA9" w:rsidRPr="00CE50D8" w:rsidRDefault="001A0A0E">
      <w:pPr>
        <w:spacing w:line="480" w:lineRule="auto"/>
        <w:jc w:val="both"/>
        <w:rPr>
          <w:rFonts w:ascii="Times New Roman" w:eastAsia="Times New Roman" w:hAnsi="Times New Roman" w:cs="Times New Roman"/>
        </w:rPr>
      </w:pPr>
      <w:bookmarkStart w:id="77" w:name="_heading=h.1rvwp1q" w:colFirst="0" w:colLast="0"/>
      <w:bookmarkEnd w:id="77"/>
      <w:r w:rsidRPr="00CE50D8">
        <w:rPr>
          <w:rFonts w:ascii="Times New Roman" w:eastAsia="Times New Roman" w:hAnsi="Times New Roman" w:cs="Times New Roman"/>
        </w:rPr>
        <w:t>59.</w:t>
      </w:r>
      <w:r w:rsidRPr="00CE50D8">
        <w:rPr>
          <w:rFonts w:ascii="Times New Roman" w:eastAsia="Times New Roman" w:hAnsi="Times New Roman" w:cs="Times New Roman"/>
        </w:rPr>
        <w:tab/>
        <w:t xml:space="preserve">Bar-On, P.; Millard, C. B.; Harel, M.; Dvir, H.; Enz, A.; Sussman, J. L.; Silman, I., Kinetic and Structural Studies on the Interaction of Cholinesterases with the Anti-Alzheimer Drug Rivastigmine. </w:t>
      </w:r>
      <w:r w:rsidRPr="00CE50D8">
        <w:rPr>
          <w:rFonts w:ascii="Times New Roman" w:eastAsia="Times New Roman" w:hAnsi="Times New Roman" w:cs="Times New Roman"/>
          <w:i/>
        </w:rPr>
        <w:t xml:space="preserve">Biochemistry </w:t>
      </w:r>
      <w:r w:rsidRPr="00CE50D8">
        <w:rPr>
          <w:rFonts w:ascii="Times New Roman" w:eastAsia="Times New Roman" w:hAnsi="Times New Roman" w:cs="Times New Roman"/>
          <w:b/>
        </w:rPr>
        <w:t>2002,</w:t>
      </w:r>
      <w:r w:rsidRPr="00CE50D8">
        <w:rPr>
          <w:rFonts w:ascii="Times New Roman" w:eastAsia="Times New Roman" w:hAnsi="Times New Roman" w:cs="Times New Roman"/>
        </w:rPr>
        <w:t xml:space="preserve"> 41, (11), 3555-3564.</w:t>
      </w:r>
    </w:p>
    <w:p w14:paraId="19FA3A87" w14:textId="326F9439" w:rsidR="00352A7C" w:rsidRPr="00CE50D8" w:rsidRDefault="00352A7C">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60.</w:t>
      </w:r>
      <w:r w:rsidRPr="00CE50D8">
        <w:rPr>
          <w:rFonts w:ascii="Times New Roman" w:eastAsia="Times New Roman" w:hAnsi="Times New Roman" w:cs="Times New Roman"/>
        </w:rPr>
        <w:tab/>
        <w:t xml:space="preserve">Bietz, S.; Urbaczek, S.; Schulz, B.; Rarey, M., Protoss: a holistic approach to predict tautomers and protonation states in protein-ligand complexes. </w:t>
      </w:r>
      <w:r w:rsidR="00866F2B" w:rsidRPr="00CE50D8">
        <w:rPr>
          <w:rFonts w:ascii="Times New Roman" w:eastAsia="Times New Roman" w:hAnsi="Times New Roman" w:cs="Times New Roman"/>
          <w:i/>
          <w:iCs/>
        </w:rPr>
        <w:t>J. Cheminf.</w:t>
      </w:r>
      <w:r w:rsidR="00866F2B" w:rsidRPr="00CE50D8">
        <w:rPr>
          <w:rFonts w:ascii="Times New Roman" w:eastAsia="Times New Roman" w:hAnsi="Times New Roman" w:cs="Times New Roman"/>
          <w:b/>
          <w:bCs/>
          <w:i/>
          <w:iCs/>
        </w:rPr>
        <w:t xml:space="preserve"> </w:t>
      </w:r>
      <w:r w:rsidRPr="00CE50D8">
        <w:rPr>
          <w:rFonts w:ascii="Times New Roman" w:eastAsia="Times New Roman" w:hAnsi="Times New Roman" w:cs="Times New Roman"/>
          <w:b/>
          <w:bCs/>
        </w:rPr>
        <w:t>2014</w:t>
      </w:r>
      <w:r w:rsidRPr="00CE50D8">
        <w:rPr>
          <w:rFonts w:ascii="Times New Roman" w:eastAsia="Times New Roman" w:hAnsi="Times New Roman" w:cs="Times New Roman"/>
        </w:rPr>
        <w:t>, 6, 12.</w:t>
      </w:r>
    </w:p>
    <w:p w14:paraId="2FA41ABF" w14:textId="60E1A462" w:rsidR="004D409A" w:rsidRPr="00CE50D8" w:rsidRDefault="004D409A">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 xml:space="preserve">61. </w:t>
      </w:r>
      <w:r w:rsidRPr="00CE50D8">
        <w:rPr>
          <w:rFonts w:ascii="Times New Roman" w:eastAsia="Times New Roman" w:hAnsi="Times New Roman" w:cs="Times New Roman"/>
        </w:rPr>
        <w:tab/>
        <w:t xml:space="preserve">Pettersen, E. F.; Goddard, T. D.; Huang, C. C.; Couch, G. S.; Greenblatt, D. M.; Meng, E. C.; Ferrin, T. E., UCSF Chimera—A visualization system for exploratory research and analysis. </w:t>
      </w:r>
      <w:r w:rsidR="00866F2B" w:rsidRPr="00CE50D8">
        <w:rPr>
          <w:rFonts w:ascii="Times New Roman" w:eastAsia="Times New Roman" w:hAnsi="Times New Roman" w:cs="Times New Roman"/>
          <w:i/>
          <w:iCs/>
        </w:rPr>
        <w:t>J. Comput. Chem.</w:t>
      </w:r>
      <w:r w:rsidR="00866F2B" w:rsidRPr="00CE50D8">
        <w:rPr>
          <w:rFonts w:ascii="Times New Roman" w:eastAsia="Times New Roman" w:hAnsi="Times New Roman" w:cs="Times New Roman"/>
        </w:rPr>
        <w:t xml:space="preserve"> </w:t>
      </w:r>
      <w:r w:rsidRPr="00CE50D8">
        <w:rPr>
          <w:rFonts w:ascii="Times New Roman" w:eastAsia="Times New Roman" w:hAnsi="Times New Roman" w:cs="Times New Roman"/>
        </w:rPr>
        <w:t>2004, 25, (13), 1605-1612.</w:t>
      </w:r>
    </w:p>
    <w:p w14:paraId="45A2D2B9" w14:textId="3E56FD68" w:rsidR="004D409A" w:rsidRPr="00CE50D8" w:rsidRDefault="001A0A0E">
      <w:pPr>
        <w:spacing w:line="480" w:lineRule="auto"/>
        <w:jc w:val="both"/>
        <w:rPr>
          <w:rFonts w:ascii="Times New Roman" w:eastAsia="Times New Roman" w:hAnsi="Times New Roman" w:cs="Times New Roman"/>
        </w:rPr>
      </w:pPr>
      <w:bookmarkStart w:id="78" w:name="_heading=h.4bvk7pj" w:colFirst="0" w:colLast="0"/>
      <w:bookmarkStart w:id="79" w:name="_heading=h.2r0uhxc" w:colFirst="0" w:colLast="0"/>
      <w:bookmarkEnd w:id="78"/>
      <w:bookmarkEnd w:id="79"/>
      <w:r w:rsidRPr="00CE50D8">
        <w:rPr>
          <w:rFonts w:ascii="Times New Roman" w:eastAsia="Times New Roman" w:hAnsi="Times New Roman" w:cs="Times New Roman"/>
        </w:rPr>
        <w:t>6</w:t>
      </w:r>
      <w:r w:rsidR="004D409A" w:rsidRPr="00CE50D8">
        <w:rPr>
          <w:rFonts w:ascii="Times New Roman" w:eastAsia="Times New Roman" w:hAnsi="Times New Roman" w:cs="Times New Roman"/>
        </w:rPr>
        <w:t>2</w:t>
      </w:r>
      <w:r w:rsidRPr="00CE50D8">
        <w:rPr>
          <w:rFonts w:ascii="Times New Roman" w:eastAsia="Times New Roman" w:hAnsi="Times New Roman" w:cs="Times New Roman"/>
        </w:rPr>
        <w:t>.</w:t>
      </w:r>
      <w:r w:rsidRPr="00CE50D8">
        <w:rPr>
          <w:rFonts w:ascii="Times New Roman" w:eastAsia="Times New Roman" w:hAnsi="Times New Roman" w:cs="Times New Roman"/>
        </w:rPr>
        <w:tab/>
      </w:r>
      <w:r w:rsidR="004D409A" w:rsidRPr="00CE50D8">
        <w:rPr>
          <w:rFonts w:ascii="Times New Roman" w:eastAsia="Times New Roman" w:hAnsi="Times New Roman" w:cs="Times New Roman"/>
        </w:rPr>
        <w:t xml:space="preserve">Stroganov, O. V.; Novikov, F. N.; Stroylov, V. S.; Kulkov, V.; Chilov, G. G., Lead Finder: An Approach To Improve Accuracy of Protein−Ligand Docking, Binding Energy Estimation, and Virtual Screening. </w:t>
      </w:r>
      <w:bookmarkStart w:id="80" w:name="_Hlk54286066"/>
      <w:r w:rsidR="00866F2B" w:rsidRPr="00CE50D8">
        <w:rPr>
          <w:rFonts w:ascii="Times New Roman" w:eastAsia="Times New Roman" w:hAnsi="Times New Roman" w:cs="Times New Roman"/>
          <w:i/>
          <w:iCs/>
        </w:rPr>
        <w:t>J. Chem. Inf. Model</w:t>
      </w:r>
      <w:bookmarkEnd w:id="80"/>
      <w:r w:rsidR="00866F2B" w:rsidRPr="00CE50D8">
        <w:rPr>
          <w:rFonts w:ascii="Times New Roman" w:eastAsia="Times New Roman" w:hAnsi="Times New Roman" w:cs="Times New Roman"/>
          <w:i/>
          <w:iCs/>
        </w:rPr>
        <w:t>.</w:t>
      </w:r>
      <w:r w:rsidR="00866F2B" w:rsidRPr="00CE50D8">
        <w:rPr>
          <w:rFonts w:ascii="Times New Roman" w:eastAsia="Times New Roman" w:hAnsi="Times New Roman" w:cs="Times New Roman"/>
        </w:rPr>
        <w:t xml:space="preserve"> </w:t>
      </w:r>
      <w:r w:rsidR="004D409A" w:rsidRPr="00CE50D8">
        <w:rPr>
          <w:rFonts w:ascii="Times New Roman" w:eastAsia="Times New Roman" w:hAnsi="Times New Roman" w:cs="Times New Roman"/>
        </w:rPr>
        <w:t>2008, 48, (12), 2371-2385.</w:t>
      </w:r>
    </w:p>
    <w:p w14:paraId="127AEC09" w14:textId="0572DCEE" w:rsidR="004D409A" w:rsidRPr="00CE50D8" w:rsidRDefault="004D409A">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63.</w:t>
      </w:r>
      <w:r w:rsidRPr="00CE50D8">
        <w:rPr>
          <w:rFonts w:ascii="Times New Roman" w:eastAsia="Times New Roman" w:hAnsi="Times New Roman" w:cs="Times New Roman"/>
        </w:rPr>
        <w:tab/>
        <w:t xml:space="preserve">Novikov, F. N.; Stroylov, V. S.; Stroganov, O. V.; Chilov, G. G., Improving performance </w:t>
      </w:r>
      <w:r w:rsidRPr="00CE50D8">
        <w:rPr>
          <w:rFonts w:ascii="Times New Roman" w:eastAsia="Times New Roman" w:hAnsi="Times New Roman" w:cs="Times New Roman"/>
        </w:rPr>
        <w:lastRenderedPageBreak/>
        <w:t xml:space="preserve">of docking-based virtual screening by structural filtration. </w:t>
      </w:r>
      <w:r w:rsidRPr="00CE50D8">
        <w:rPr>
          <w:rFonts w:ascii="Times New Roman" w:eastAsia="Times New Roman" w:hAnsi="Times New Roman" w:cs="Times New Roman"/>
          <w:i/>
          <w:iCs/>
        </w:rPr>
        <w:t>J</w:t>
      </w:r>
      <w:r w:rsidR="00866F2B" w:rsidRPr="00CE50D8">
        <w:rPr>
          <w:rFonts w:ascii="Times New Roman" w:eastAsia="Times New Roman" w:hAnsi="Times New Roman" w:cs="Times New Roman"/>
          <w:i/>
          <w:iCs/>
        </w:rPr>
        <w:t xml:space="preserve">. </w:t>
      </w:r>
      <w:r w:rsidRPr="00CE50D8">
        <w:rPr>
          <w:rFonts w:ascii="Times New Roman" w:eastAsia="Times New Roman" w:hAnsi="Times New Roman" w:cs="Times New Roman"/>
          <w:i/>
          <w:iCs/>
        </w:rPr>
        <w:t>Mol</w:t>
      </w:r>
      <w:r w:rsidR="00866F2B" w:rsidRPr="00CE50D8">
        <w:rPr>
          <w:rFonts w:ascii="Times New Roman" w:eastAsia="Times New Roman" w:hAnsi="Times New Roman" w:cs="Times New Roman"/>
          <w:i/>
          <w:iCs/>
        </w:rPr>
        <w:t xml:space="preserve">. </w:t>
      </w:r>
      <w:r w:rsidRPr="00CE50D8">
        <w:rPr>
          <w:rFonts w:ascii="Times New Roman" w:eastAsia="Times New Roman" w:hAnsi="Times New Roman" w:cs="Times New Roman"/>
          <w:i/>
          <w:iCs/>
        </w:rPr>
        <w:t>Model</w:t>
      </w:r>
      <w:r w:rsidR="00866F2B" w:rsidRPr="00CE50D8">
        <w:rPr>
          <w:rFonts w:ascii="Times New Roman" w:eastAsia="Times New Roman" w:hAnsi="Times New Roman" w:cs="Times New Roman"/>
          <w:i/>
          <w:iCs/>
        </w:rPr>
        <w:t>.</w:t>
      </w:r>
      <w:r w:rsidR="00866F2B" w:rsidRPr="00CE50D8">
        <w:rPr>
          <w:rFonts w:ascii="Times New Roman" w:eastAsia="Times New Roman" w:hAnsi="Times New Roman" w:cs="Times New Roman"/>
        </w:rPr>
        <w:t xml:space="preserve"> </w:t>
      </w:r>
      <w:r w:rsidRPr="00CE50D8">
        <w:rPr>
          <w:rFonts w:ascii="Times New Roman" w:eastAsia="Times New Roman" w:hAnsi="Times New Roman" w:cs="Times New Roman"/>
        </w:rPr>
        <w:t>2010, 16, (7), 1223-1230.</w:t>
      </w:r>
    </w:p>
    <w:p w14:paraId="10BDCD2B" w14:textId="6B03FBC3" w:rsidR="00221BA9" w:rsidRPr="00CE50D8" w:rsidRDefault="004D409A">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 xml:space="preserve">64. </w:t>
      </w:r>
      <w:r w:rsidRPr="00CE50D8">
        <w:rPr>
          <w:rFonts w:ascii="Times New Roman" w:eastAsia="Times New Roman" w:hAnsi="Times New Roman" w:cs="Times New Roman"/>
        </w:rPr>
        <w:tab/>
      </w:r>
      <w:r w:rsidR="001A0A0E" w:rsidRPr="00CE50D8">
        <w:rPr>
          <w:rFonts w:ascii="Times New Roman" w:eastAsia="Times New Roman" w:hAnsi="Times New Roman" w:cs="Times New Roman"/>
        </w:rPr>
        <w:t>Novikov, F. N.; Stroylov, V. S.; Zeifman, A. A.; Stroganov, O. V.; Kulkov, V.; Chilov, G. G., Lead Finder docking and virtual screening evaluation with Astex and DUD test sets</w:t>
      </w:r>
      <w:bookmarkStart w:id="81" w:name="_Hlk54286094"/>
      <w:r w:rsidR="001A0A0E" w:rsidRPr="00CE50D8">
        <w:rPr>
          <w:rFonts w:ascii="Times New Roman" w:eastAsia="Times New Roman" w:hAnsi="Times New Roman" w:cs="Times New Roman"/>
        </w:rPr>
        <w:t xml:space="preserve">. </w:t>
      </w:r>
      <w:r w:rsidR="00866F2B" w:rsidRPr="00CE50D8">
        <w:rPr>
          <w:rFonts w:ascii="Times New Roman" w:eastAsia="Times New Roman" w:hAnsi="Times New Roman" w:cs="Times New Roman"/>
          <w:i/>
        </w:rPr>
        <w:t>J. Comput.-Aided Mol. Des.</w:t>
      </w:r>
      <w:bookmarkEnd w:id="81"/>
      <w:r w:rsidR="00866F2B" w:rsidRPr="00CE50D8">
        <w:rPr>
          <w:rFonts w:ascii="Times New Roman" w:eastAsia="Times New Roman" w:hAnsi="Times New Roman" w:cs="Times New Roman"/>
          <w:b/>
          <w:i/>
        </w:rPr>
        <w:t xml:space="preserve"> </w:t>
      </w:r>
      <w:r w:rsidR="001A0A0E" w:rsidRPr="00CE50D8">
        <w:rPr>
          <w:rFonts w:ascii="Times New Roman" w:eastAsia="Times New Roman" w:hAnsi="Times New Roman" w:cs="Times New Roman"/>
          <w:b/>
        </w:rPr>
        <w:t>2012,</w:t>
      </w:r>
      <w:r w:rsidR="001A0A0E" w:rsidRPr="00CE50D8">
        <w:rPr>
          <w:rFonts w:ascii="Times New Roman" w:eastAsia="Times New Roman" w:hAnsi="Times New Roman" w:cs="Times New Roman"/>
        </w:rPr>
        <w:t xml:space="preserve"> 26, (6), 725-735.</w:t>
      </w:r>
    </w:p>
    <w:p w14:paraId="5C74B16D" w14:textId="00957429" w:rsidR="00221BA9" w:rsidRPr="00CE50D8" w:rsidRDefault="001A0A0E">
      <w:pPr>
        <w:spacing w:line="480" w:lineRule="auto"/>
        <w:jc w:val="both"/>
        <w:rPr>
          <w:rFonts w:ascii="Times New Roman" w:eastAsia="Times New Roman" w:hAnsi="Times New Roman" w:cs="Times New Roman"/>
        </w:rPr>
      </w:pPr>
      <w:bookmarkStart w:id="82" w:name="_heading=h.1664s55" w:colFirst="0" w:colLast="0"/>
      <w:bookmarkStart w:id="83" w:name="_heading=h.3q5sasy" w:colFirst="0" w:colLast="0"/>
      <w:bookmarkEnd w:id="82"/>
      <w:bookmarkEnd w:id="83"/>
      <w:r w:rsidRPr="00CE50D8">
        <w:rPr>
          <w:rFonts w:ascii="Times New Roman" w:eastAsia="Times New Roman" w:hAnsi="Times New Roman" w:cs="Times New Roman"/>
        </w:rPr>
        <w:t>6</w:t>
      </w:r>
      <w:r w:rsidR="004D409A" w:rsidRPr="00CE50D8">
        <w:rPr>
          <w:rFonts w:ascii="Times New Roman" w:eastAsia="Times New Roman" w:hAnsi="Times New Roman" w:cs="Times New Roman"/>
        </w:rPr>
        <w:t>5</w:t>
      </w:r>
      <w:r w:rsidRPr="00CE50D8">
        <w:rPr>
          <w:rFonts w:ascii="Times New Roman" w:eastAsia="Times New Roman" w:hAnsi="Times New Roman" w:cs="Times New Roman"/>
        </w:rPr>
        <w:t>.</w:t>
      </w:r>
      <w:r w:rsidRPr="00CE50D8">
        <w:rPr>
          <w:rFonts w:ascii="Times New Roman" w:eastAsia="Times New Roman" w:hAnsi="Times New Roman" w:cs="Times New Roman"/>
        </w:rPr>
        <w:tab/>
        <w:t xml:space="preserve">Wolber, G.; Langer, T., LigandScout:  3-D Pharmacophores Derived from Protein-Bound Ligands and Their Use as Virtual Screening Filters. </w:t>
      </w:r>
      <w:r w:rsidR="00866F2B" w:rsidRPr="00CE50D8">
        <w:rPr>
          <w:rFonts w:ascii="Times New Roman" w:eastAsia="Times New Roman" w:hAnsi="Times New Roman" w:cs="Times New Roman"/>
          <w:i/>
          <w:iCs/>
        </w:rPr>
        <w:t>J. Chem. Inf. Model.</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2005,</w:t>
      </w:r>
      <w:r w:rsidRPr="00CE50D8">
        <w:rPr>
          <w:rFonts w:ascii="Times New Roman" w:eastAsia="Times New Roman" w:hAnsi="Times New Roman" w:cs="Times New Roman"/>
        </w:rPr>
        <w:t xml:space="preserve"> 45, (1), 160-169.</w:t>
      </w:r>
    </w:p>
    <w:p w14:paraId="03C79564" w14:textId="77777777" w:rsidR="004D409A" w:rsidRPr="00CE50D8" w:rsidRDefault="004D409A" w:rsidP="004D409A">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66.</w:t>
      </w:r>
      <w:r w:rsidRPr="00CE50D8">
        <w:rPr>
          <w:rFonts w:ascii="Times New Roman" w:eastAsia="Times New Roman" w:hAnsi="Times New Roman" w:cs="Times New Roman"/>
        </w:rPr>
        <w:tab/>
        <w:t xml:space="preserve">Ge, H.; Wang, Y.; Zhao, W.; Lin, W.; Yan, X.; Xu, J., Scaffold hopping of potential anti-tumor agents by WEGA: a shape-based approach. </w:t>
      </w:r>
      <w:r w:rsidRPr="00CE50D8">
        <w:rPr>
          <w:rFonts w:ascii="Times New Roman" w:eastAsia="Times New Roman" w:hAnsi="Times New Roman" w:cs="Times New Roman"/>
          <w:i/>
        </w:rPr>
        <w:t xml:space="preserve">MedChemComm </w:t>
      </w:r>
      <w:r w:rsidRPr="00CE50D8">
        <w:rPr>
          <w:rFonts w:ascii="Times New Roman" w:eastAsia="Times New Roman" w:hAnsi="Times New Roman" w:cs="Times New Roman"/>
          <w:b/>
        </w:rPr>
        <w:t>2014,</w:t>
      </w:r>
      <w:r w:rsidRPr="00CE50D8">
        <w:rPr>
          <w:rFonts w:ascii="Times New Roman" w:eastAsia="Times New Roman" w:hAnsi="Times New Roman" w:cs="Times New Roman"/>
        </w:rPr>
        <w:t xml:space="preserve"> 5, (6), 737-741.</w:t>
      </w:r>
    </w:p>
    <w:p w14:paraId="1ABADB4C" w14:textId="1B1913FF" w:rsidR="004D409A" w:rsidRPr="00CE50D8" w:rsidRDefault="004D409A" w:rsidP="004D409A">
      <w:pPr>
        <w:spacing w:line="480" w:lineRule="auto"/>
        <w:jc w:val="both"/>
        <w:rPr>
          <w:rFonts w:ascii="Times New Roman" w:eastAsia="Times New Roman" w:hAnsi="Times New Roman" w:cs="Times New Roman"/>
        </w:rPr>
      </w:pPr>
      <w:bookmarkStart w:id="84" w:name="_heading=h.43ky6rz" w:colFirst="0" w:colLast="0"/>
      <w:bookmarkEnd w:id="84"/>
      <w:r w:rsidRPr="00CE50D8">
        <w:rPr>
          <w:rFonts w:ascii="Times New Roman" w:eastAsia="Times New Roman" w:hAnsi="Times New Roman" w:cs="Times New Roman"/>
        </w:rPr>
        <w:t>67.</w:t>
      </w:r>
      <w:r w:rsidRPr="00CE50D8">
        <w:rPr>
          <w:rFonts w:ascii="Times New Roman" w:eastAsia="Times New Roman" w:hAnsi="Times New Roman" w:cs="Times New Roman"/>
        </w:rPr>
        <w:tab/>
        <w:t>Tsai, T.-Y.; Chang, K.-W.; Chen, C. Y.-C., iScreen: world’s first cloud-computing web server for virtual screening and de novo drug design based on TCM database@Taiwan.</w:t>
      </w:r>
      <w:r w:rsidR="00777512" w:rsidRPr="00CE50D8">
        <w:rPr>
          <w:rFonts w:ascii="Times New Roman" w:eastAsia="Times New Roman" w:hAnsi="Times New Roman" w:cs="Times New Roman"/>
          <w:i/>
        </w:rPr>
        <w:t xml:space="preserve"> J. Comput.-Aided Mol. Des.</w:t>
      </w:r>
      <w:r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2011,</w:t>
      </w:r>
      <w:r w:rsidRPr="00CE50D8">
        <w:rPr>
          <w:rFonts w:ascii="Times New Roman" w:eastAsia="Times New Roman" w:hAnsi="Times New Roman" w:cs="Times New Roman"/>
        </w:rPr>
        <w:t xml:space="preserve"> 25, (6), 525-531.</w:t>
      </w:r>
    </w:p>
    <w:p w14:paraId="0D7BAE68" w14:textId="2738E1F4" w:rsidR="004D409A" w:rsidRPr="00CE50D8" w:rsidRDefault="004D409A">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68.</w:t>
      </w:r>
      <w:r w:rsidRPr="00CE50D8">
        <w:rPr>
          <w:rFonts w:ascii="Times New Roman" w:eastAsia="Times New Roman" w:hAnsi="Times New Roman" w:cs="Times New Roman"/>
        </w:rPr>
        <w:tab/>
        <w:t xml:space="preserve">Ruggiu, F.; Marcou, G.; Varnek, A.; Horvath, D., ISIDA Property-Labelled Fragment Descriptors. </w:t>
      </w:r>
      <w:r w:rsidR="00777512" w:rsidRPr="00CE50D8">
        <w:rPr>
          <w:rFonts w:ascii="Times New Roman" w:eastAsia="Times New Roman" w:hAnsi="Times New Roman" w:cs="Times New Roman"/>
          <w:i/>
          <w:iCs/>
        </w:rPr>
        <w:t>Mol. Inf.</w:t>
      </w:r>
      <w:r w:rsidR="00777512" w:rsidRPr="00CE50D8">
        <w:rPr>
          <w:rFonts w:ascii="Times New Roman" w:eastAsia="Times New Roman" w:hAnsi="Times New Roman" w:cs="Times New Roman"/>
        </w:rPr>
        <w:t xml:space="preserve"> </w:t>
      </w:r>
      <w:r w:rsidRPr="00CE50D8">
        <w:rPr>
          <w:rFonts w:ascii="Times New Roman" w:eastAsia="Times New Roman" w:hAnsi="Times New Roman" w:cs="Times New Roman"/>
        </w:rPr>
        <w:t>2010, 29, (12), 855-868.</w:t>
      </w:r>
    </w:p>
    <w:p w14:paraId="5CDE7D4F" w14:textId="56F6126C" w:rsidR="004D409A" w:rsidRPr="00CE50D8" w:rsidRDefault="004D409A">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69.</w:t>
      </w:r>
      <w:r w:rsidRPr="00CE50D8">
        <w:rPr>
          <w:rFonts w:ascii="Times New Roman" w:eastAsia="Times New Roman" w:hAnsi="Times New Roman" w:cs="Times New Roman"/>
        </w:rPr>
        <w:tab/>
        <w:t xml:space="preserve">Todeschini, R; Ballabio, D; Consonni, V; Manganaro, A; Mauri, A. Canonical Measure of Correlation (CMC) and Canonical Measure of Distance (CMD) between sets of data. Part 1. Theory and simple chemometric applications. </w:t>
      </w:r>
      <w:r w:rsidR="00777512" w:rsidRPr="00CE50D8">
        <w:rPr>
          <w:rFonts w:ascii="Times New Roman" w:eastAsia="Times New Roman" w:hAnsi="Times New Roman" w:cs="Times New Roman"/>
          <w:i/>
          <w:iCs/>
        </w:rPr>
        <w:t>Anal. Chim. Acta</w:t>
      </w:r>
      <w:r w:rsidR="00777512" w:rsidRPr="00CE50D8">
        <w:rPr>
          <w:rFonts w:ascii="Times New Roman" w:eastAsia="Times New Roman" w:hAnsi="Times New Roman" w:cs="Times New Roman"/>
        </w:rPr>
        <w:t xml:space="preserve"> </w:t>
      </w:r>
      <w:r w:rsidRPr="00CE50D8">
        <w:rPr>
          <w:rFonts w:ascii="Times New Roman" w:eastAsia="Times New Roman" w:hAnsi="Times New Roman" w:cs="Times New Roman"/>
        </w:rPr>
        <w:t>2009 648,(1), 45-51.</w:t>
      </w:r>
    </w:p>
    <w:p w14:paraId="5E7A1C02" w14:textId="33FEC4D1" w:rsidR="004D409A" w:rsidRPr="00CE50D8" w:rsidRDefault="004D409A" w:rsidP="004D409A">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70.</w:t>
      </w:r>
      <w:r w:rsidRPr="00CE50D8">
        <w:rPr>
          <w:rFonts w:ascii="Times New Roman" w:eastAsia="Times New Roman" w:hAnsi="Times New Roman" w:cs="Times New Roman"/>
        </w:rPr>
        <w:tab/>
        <w:t xml:space="preserve">Ellman, G. L.; Courtney, K. D.; Andres, V.; Featherstone, R. M., A new and rapid colorimetric determination of acetylcholinesterase activity. </w:t>
      </w:r>
      <w:r w:rsidR="00777512" w:rsidRPr="00CE50D8">
        <w:rPr>
          <w:rFonts w:ascii="Times New Roman" w:eastAsia="Times New Roman" w:hAnsi="Times New Roman" w:cs="Times New Roman"/>
          <w:i/>
          <w:iCs/>
        </w:rPr>
        <w:t>Biochem. Pharmacol.</w:t>
      </w:r>
      <w:r w:rsidR="00777512" w:rsidRPr="00CE50D8">
        <w:rPr>
          <w:rFonts w:ascii="Times New Roman" w:eastAsia="Times New Roman" w:hAnsi="Times New Roman" w:cs="Times New Roman"/>
        </w:rPr>
        <w:t xml:space="preserve"> </w:t>
      </w:r>
      <w:r w:rsidRPr="00CE50D8">
        <w:rPr>
          <w:rFonts w:ascii="Times New Roman" w:eastAsia="Times New Roman" w:hAnsi="Times New Roman" w:cs="Times New Roman"/>
        </w:rPr>
        <w:t>1961, 7, (2), 88-95.</w:t>
      </w:r>
    </w:p>
    <w:p w14:paraId="0D91708A" w14:textId="77777777" w:rsidR="004D409A" w:rsidRPr="00CE50D8" w:rsidRDefault="004D409A" w:rsidP="004D409A">
      <w:pPr>
        <w:spacing w:line="480" w:lineRule="auto"/>
        <w:jc w:val="both"/>
        <w:rPr>
          <w:rFonts w:ascii="Times New Roman" w:eastAsia="Times New Roman" w:hAnsi="Times New Roman" w:cs="Times New Roman"/>
        </w:rPr>
      </w:pPr>
      <w:r w:rsidRPr="00CE50D8">
        <w:rPr>
          <w:rFonts w:ascii="Times New Roman" w:eastAsia="Times New Roman" w:hAnsi="Times New Roman" w:cs="Times New Roman"/>
        </w:rPr>
        <w:t>71.</w:t>
      </w:r>
      <w:r w:rsidRPr="00CE50D8">
        <w:rPr>
          <w:rFonts w:ascii="Times New Roman" w:eastAsia="Times New Roman" w:hAnsi="Times New Roman" w:cs="Times New Roman"/>
        </w:rPr>
        <w:tab/>
        <w:t xml:space="preserve">Senol, F. S.; Ślusarczyk, S.; Matkowski, A.; Pérez-Garrido, A.; Girón-Rodríguez, F.; Cerón-Carrasco, J. P.; den-Haan, H.; Peña-García, J.; Pérez-Sánchez, H.; Domaradzki, K.; Orhan, I. E., Selective in vitro and in silico butyrylcholinesterase inhibitory activity of diterpenes and rosmarinic acid isolated from Perovskia atriplicifolia Benth. and Salvia </w:t>
      </w:r>
      <w:r w:rsidRPr="00CE50D8">
        <w:rPr>
          <w:rFonts w:ascii="Times New Roman" w:eastAsia="Times New Roman" w:hAnsi="Times New Roman" w:cs="Times New Roman"/>
        </w:rPr>
        <w:lastRenderedPageBreak/>
        <w:t xml:space="preserve">glutinosa L. </w:t>
      </w:r>
      <w:r w:rsidRPr="00CE50D8">
        <w:rPr>
          <w:rFonts w:ascii="Times New Roman" w:eastAsia="Times New Roman" w:hAnsi="Times New Roman" w:cs="Times New Roman"/>
          <w:i/>
          <w:iCs/>
        </w:rPr>
        <w:t>Phytochemistry</w:t>
      </w:r>
      <w:r w:rsidRPr="00CE50D8">
        <w:rPr>
          <w:rFonts w:ascii="Times New Roman" w:eastAsia="Times New Roman" w:hAnsi="Times New Roman" w:cs="Times New Roman"/>
        </w:rPr>
        <w:t xml:space="preserve"> 2017, 133, (Supplement C), 33-44.</w:t>
      </w:r>
    </w:p>
    <w:p w14:paraId="1F97229F" w14:textId="77777777" w:rsidR="00221BA9" w:rsidRPr="00CE50D8" w:rsidRDefault="00AB39BB">
      <w:pPr>
        <w:spacing w:line="480" w:lineRule="auto"/>
        <w:jc w:val="both"/>
        <w:rPr>
          <w:rFonts w:ascii="Times New Roman" w:eastAsia="Times New Roman" w:hAnsi="Times New Roman" w:cs="Times New Roman"/>
        </w:rPr>
      </w:pPr>
      <w:bookmarkStart w:id="85" w:name="_heading=h.25b2l0r" w:colFirst="0" w:colLast="0"/>
      <w:bookmarkEnd w:id="85"/>
      <w:r w:rsidRPr="00CE50D8">
        <w:rPr>
          <w:rFonts w:ascii="Times New Roman" w:eastAsia="Times New Roman" w:hAnsi="Times New Roman" w:cs="Times New Roman"/>
        </w:rPr>
        <w:t>72</w:t>
      </w:r>
      <w:r w:rsidR="001A0A0E" w:rsidRPr="00CE50D8">
        <w:rPr>
          <w:rFonts w:ascii="Times New Roman" w:eastAsia="Times New Roman" w:hAnsi="Times New Roman" w:cs="Times New Roman"/>
        </w:rPr>
        <w:t>.</w:t>
      </w:r>
      <w:r w:rsidR="001A0A0E" w:rsidRPr="00CE50D8">
        <w:rPr>
          <w:rFonts w:ascii="Times New Roman" w:eastAsia="Times New Roman" w:hAnsi="Times New Roman" w:cs="Times New Roman"/>
        </w:rPr>
        <w:tab/>
        <w:t xml:space="preserve">Pantsar, T.; Poso, A., Binding Affinity via Docking: Fact and Fiction. </w:t>
      </w:r>
      <w:r w:rsidR="001A0A0E" w:rsidRPr="00CE50D8">
        <w:rPr>
          <w:rFonts w:ascii="Times New Roman" w:eastAsia="Times New Roman" w:hAnsi="Times New Roman" w:cs="Times New Roman"/>
          <w:i/>
        </w:rPr>
        <w:t xml:space="preserve">Molecules </w:t>
      </w:r>
      <w:r w:rsidR="001A0A0E" w:rsidRPr="00CE50D8">
        <w:rPr>
          <w:rFonts w:ascii="Times New Roman" w:eastAsia="Times New Roman" w:hAnsi="Times New Roman" w:cs="Times New Roman"/>
          <w:b/>
        </w:rPr>
        <w:t>2018,</w:t>
      </w:r>
      <w:r w:rsidR="001A0A0E" w:rsidRPr="00CE50D8">
        <w:rPr>
          <w:rFonts w:ascii="Times New Roman" w:eastAsia="Times New Roman" w:hAnsi="Times New Roman" w:cs="Times New Roman"/>
        </w:rPr>
        <w:t xml:space="preserve"> 23, (8).</w:t>
      </w:r>
    </w:p>
    <w:p w14:paraId="0417E1FE" w14:textId="31121F9F" w:rsidR="00221BA9" w:rsidRPr="00CE50D8" w:rsidRDefault="001A0A0E">
      <w:pPr>
        <w:spacing w:line="480" w:lineRule="auto"/>
        <w:jc w:val="both"/>
        <w:rPr>
          <w:rFonts w:ascii="Times New Roman" w:eastAsia="Times New Roman" w:hAnsi="Times New Roman" w:cs="Times New Roman"/>
        </w:rPr>
      </w:pPr>
      <w:bookmarkStart w:id="86" w:name="_heading=h.kgcv8k" w:colFirst="0" w:colLast="0"/>
      <w:bookmarkStart w:id="87" w:name="_heading=h.34g0dwd" w:colFirst="0" w:colLast="0"/>
      <w:bookmarkStart w:id="88" w:name="_heading=h.1jlao46" w:colFirst="0" w:colLast="0"/>
      <w:bookmarkStart w:id="89" w:name="_heading=h.2iq8gzs" w:colFirst="0" w:colLast="0"/>
      <w:bookmarkStart w:id="90" w:name="_heading=h.1x0gk37" w:colFirst="0" w:colLast="0"/>
      <w:bookmarkEnd w:id="86"/>
      <w:bookmarkEnd w:id="87"/>
      <w:bookmarkEnd w:id="88"/>
      <w:bookmarkEnd w:id="89"/>
      <w:bookmarkEnd w:id="90"/>
      <w:r w:rsidRPr="00CE50D8">
        <w:rPr>
          <w:rFonts w:ascii="Times New Roman" w:eastAsia="Times New Roman" w:hAnsi="Times New Roman" w:cs="Times New Roman"/>
        </w:rPr>
        <w:t>73.</w:t>
      </w:r>
      <w:r w:rsidRPr="00CE50D8">
        <w:rPr>
          <w:rFonts w:ascii="Times New Roman" w:eastAsia="Times New Roman" w:hAnsi="Times New Roman" w:cs="Times New Roman"/>
        </w:rPr>
        <w:tab/>
        <w:t xml:space="preserve">Davies, P.; Maloney, A. J. F., SELECTIVE LOSS OF CENTRAL CHOLINERGIC NEURONS IN ALZHEIMER'S DISEASE. </w:t>
      </w:r>
      <w:r w:rsidRPr="00CE50D8">
        <w:rPr>
          <w:rFonts w:ascii="Times New Roman" w:eastAsia="Times New Roman" w:hAnsi="Times New Roman" w:cs="Times New Roman"/>
          <w:i/>
        </w:rPr>
        <w:t xml:space="preserve">Lancet </w:t>
      </w:r>
      <w:r w:rsidRPr="00CE50D8">
        <w:rPr>
          <w:rFonts w:ascii="Times New Roman" w:eastAsia="Times New Roman" w:hAnsi="Times New Roman" w:cs="Times New Roman"/>
          <w:b/>
        </w:rPr>
        <w:t>1976,</w:t>
      </w:r>
      <w:r w:rsidRPr="00CE50D8">
        <w:rPr>
          <w:rFonts w:ascii="Times New Roman" w:eastAsia="Times New Roman" w:hAnsi="Times New Roman" w:cs="Times New Roman"/>
        </w:rPr>
        <w:t xml:space="preserve"> 308, (8000), 1403.</w:t>
      </w:r>
    </w:p>
    <w:p w14:paraId="2345718A" w14:textId="61BF218F" w:rsidR="00221BA9" w:rsidRPr="00CE50D8" w:rsidRDefault="001A0A0E">
      <w:pPr>
        <w:spacing w:line="480" w:lineRule="auto"/>
        <w:jc w:val="both"/>
        <w:rPr>
          <w:rFonts w:ascii="Times New Roman" w:eastAsia="Times New Roman" w:hAnsi="Times New Roman" w:cs="Times New Roman"/>
        </w:rPr>
      </w:pPr>
      <w:bookmarkStart w:id="91" w:name="_heading=h.4h042r0" w:colFirst="0" w:colLast="0"/>
      <w:bookmarkEnd w:id="91"/>
      <w:r w:rsidRPr="00CE50D8">
        <w:rPr>
          <w:rFonts w:ascii="Times New Roman" w:eastAsia="Times New Roman" w:hAnsi="Times New Roman" w:cs="Times New Roman"/>
        </w:rPr>
        <w:t>74.</w:t>
      </w:r>
      <w:r w:rsidRPr="00CE50D8">
        <w:rPr>
          <w:rFonts w:ascii="Times New Roman" w:eastAsia="Times New Roman" w:hAnsi="Times New Roman" w:cs="Times New Roman"/>
        </w:rPr>
        <w:tab/>
        <w:t xml:space="preserve">Mukherjee, P. K.; Kumar, V.; Houghton, P. J., Screening of Indian medicinal plants for acetylcholinesterase inhibitory activity. </w:t>
      </w:r>
      <w:r w:rsidR="00777512" w:rsidRPr="00CE50D8">
        <w:rPr>
          <w:rFonts w:ascii="Times New Roman" w:eastAsia="Times New Roman" w:hAnsi="Times New Roman" w:cs="Times New Roman"/>
          <w:i/>
        </w:rPr>
        <w:t>Phytother. Res.</w:t>
      </w:r>
      <w:r w:rsidR="00777512"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2007,</w:t>
      </w:r>
      <w:r w:rsidRPr="00CE50D8">
        <w:rPr>
          <w:rFonts w:ascii="Times New Roman" w:eastAsia="Times New Roman" w:hAnsi="Times New Roman" w:cs="Times New Roman"/>
        </w:rPr>
        <w:t xml:space="preserve"> 21, (12), 1142-1145.</w:t>
      </w:r>
    </w:p>
    <w:p w14:paraId="3A2191AD" w14:textId="056F5532" w:rsidR="00221BA9" w:rsidRPr="00CE50D8" w:rsidRDefault="001A0A0E">
      <w:pPr>
        <w:spacing w:line="480" w:lineRule="auto"/>
        <w:jc w:val="both"/>
        <w:rPr>
          <w:rFonts w:ascii="Times New Roman" w:eastAsia="Times New Roman" w:hAnsi="Times New Roman" w:cs="Times New Roman"/>
        </w:rPr>
      </w:pPr>
      <w:bookmarkStart w:id="92" w:name="_heading=h.2w5ecyt" w:colFirst="0" w:colLast="0"/>
      <w:bookmarkEnd w:id="92"/>
      <w:r w:rsidRPr="00CE50D8">
        <w:rPr>
          <w:rFonts w:ascii="Times New Roman" w:eastAsia="Times New Roman" w:hAnsi="Times New Roman" w:cs="Times New Roman"/>
        </w:rPr>
        <w:t>75.</w:t>
      </w:r>
      <w:r w:rsidRPr="00CE50D8">
        <w:rPr>
          <w:rFonts w:ascii="Times New Roman" w:eastAsia="Times New Roman" w:hAnsi="Times New Roman" w:cs="Times New Roman"/>
        </w:rPr>
        <w:tab/>
        <w:t xml:space="preserve">Galimberti, D.; Scarpini, E., Old and new acetylcholinesterase inhibitors for Alzheimer’s disease. </w:t>
      </w:r>
      <w:r w:rsidR="00777512" w:rsidRPr="00CE50D8">
        <w:rPr>
          <w:rFonts w:ascii="Times New Roman" w:eastAsia="Times New Roman" w:hAnsi="Times New Roman" w:cs="Times New Roman"/>
          <w:i/>
        </w:rPr>
        <w:t>Expert Opin. Invest. Drugs</w:t>
      </w:r>
      <w:r w:rsidR="00777512" w:rsidRPr="00CE50D8">
        <w:rPr>
          <w:rFonts w:ascii="Times New Roman" w:eastAsia="Times New Roman" w:hAnsi="Times New Roman" w:cs="Times New Roman"/>
          <w:b/>
          <w:i/>
        </w:rPr>
        <w:t xml:space="preserve"> </w:t>
      </w:r>
      <w:r w:rsidRPr="00CE50D8">
        <w:rPr>
          <w:rFonts w:ascii="Times New Roman" w:eastAsia="Times New Roman" w:hAnsi="Times New Roman" w:cs="Times New Roman"/>
          <w:b/>
        </w:rPr>
        <w:t>2016,</w:t>
      </w:r>
      <w:r w:rsidRPr="00CE50D8">
        <w:rPr>
          <w:rFonts w:ascii="Times New Roman" w:eastAsia="Times New Roman" w:hAnsi="Times New Roman" w:cs="Times New Roman"/>
        </w:rPr>
        <w:t xml:space="preserve"> 25, (10), 1181-1187.</w:t>
      </w:r>
    </w:p>
    <w:p w14:paraId="34DE6BD2" w14:textId="6B827E36" w:rsidR="00221BA9" w:rsidRPr="00CE50D8" w:rsidRDefault="001A0A0E">
      <w:pPr>
        <w:spacing w:line="480" w:lineRule="auto"/>
        <w:jc w:val="both"/>
        <w:rPr>
          <w:rFonts w:ascii="Times New Roman" w:eastAsia="Times New Roman" w:hAnsi="Times New Roman" w:cs="Times New Roman"/>
        </w:rPr>
      </w:pPr>
      <w:bookmarkStart w:id="93" w:name="_heading=h.1baon6m" w:colFirst="0" w:colLast="0"/>
      <w:bookmarkEnd w:id="93"/>
      <w:r w:rsidRPr="00CE50D8">
        <w:rPr>
          <w:rFonts w:ascii="Times New Roman" w:eastAsia="Times New Roman" w:hAnsi="Times New Roman" w:cs="Times New Roman"/>
        </w:rPr>
        <w:t>76.</w:t>
      </w:r>
      <w:r w:rsidRPr="00CE50D8">
        <w:rPr>
          <w:rFonts w:ascii="Times New Roman" w:eastAsia="Times New Roman" w:hAnsi="Times New Roman" w:cs="Times New Roman"/>
        </w:rPr>
        <w:tab/>
        <w:t xml:space="preserve">Pisani, L.; Farina, R.; Catto, M.; Iacobazzi, R. M.; Nicolotti, O.; Cellamare, S.; Mangiatordi, G. F.; Denora, N.; Soto-Otero, R.; Siragusa, L.; Altomare, C. D.; Carotti, A., Exploring Basic Tail Modifications of Coumarin-Based Dual Acetylcholinesterase-Monoamine Oxidase B Inhibitors: Identification of Water-Soluble, Brain-Permeant Neuroprotective Multitarget Agents. </w:t>
      </w:r>
      <w:r w:rsidRPr="00CE50D8">
        <w:rPr>
          <w:rFonts w:ascii="Times New Roman" w:eastAsia="Times New Roman" w:hAnsi="Times New Roman" w:cs="Times New Roman"/>
          <w:i/>
        </w:rPr>
        <w:t>J</w:t>
      </w:r>
      <w:r w:rsidR="00777512" w:rsidRPr="00CE50D8">
        <w:rPr>
          <w:rFonts w:ascii="Times New Roman" w:eastAsia="Times New Roman" w:hAnsi="Times New Roman" w:cs="Times New Roman"/>
          <w:i/>
        </w:rPr>
        <w:t>.</w:t>
      </w:r>
      <w:r w:rsidRPr="00CE50D8">
        <w:rPr>
          <w:rFonts w:ascii="Times New Roman" w:eastAsia="Times New Roman" w:hAnsi="Times New Roman" w:cs="Times New Roman"/>
          <w:i/>
        </w:rPr>
        <w:t xml:space="preserve"> Med</w:t>
      </w:r>
      <w:r w:rsidR="00777512" w:rsidRPr="00CE50D8">
        <w:rPr>
          <w:rFonts w:ascii="Times New Roman" w:eastAsia="Times New Roman" w:hAnsi="Times New Roman" w:cs="Times New Roman"/>
          <w:i/>
        </w:rPr>
        <w:t xml:space="preserve">. </w:t>
      </w:r>
      <w:r w:rsidRPr="00CE50D8">
        <w:rPr>
          <w:rFonts w:ascii="Times New Roman" w:eastAsia="Times New Roman" w:hAnsi="Times New Roman" w:cs="Times New Roman"/>
          <w:i/>
        </w:rPr>
        <w:t>Chem</w:t>
      </w:r>
      <w:r w:rsidR="00777512" w:rsidRPr="00CE50D8">
        <w:rPr>
          <w:rFonts w:ascii="Times New Roman" w:eastAsia="Times New Roman" w:hAnsi="Times New Roman" w:cs="Times New Roman"/>
          <w:i/>
        </w:rPr>
        <w:t xml:space="preserve">. </w:t>
      </w:r>
      <w:r w:rsidRPr="00CE50D8">
        <w:rPr>
          <w:rFonts w:ascii="Times New Roman" w:eastAsia="Times New Roman" w:hAnsi="Times New Roman" w:cs="Times New Roman"/>
          <w:b/>
        </w:rPr>
        <w:t>2016,</w:t>
      </w:r>
      <w:r w:rsidRPr="00CE50D8">
        <w:rPr>
          <w:rFonts w:ascii="Times New Roman" w:eastAsia="Times New Roman" w:hAnsi="Times New Roman" w:cs="Times New Roman"/>
        </w:rPr>
        <w:t xml:space="preserve"> 59, (14), 6791-6806.</w:t>
      </w:r>
    </w:p>
    <w:p w14:paraId="53DB2630" w14:textId="77777777" w:rsidR="00221BA9" w:rsidRPr="00CE50D8" w:rsidRDefault="00221BA9">
      <w:pPr>
        <w:spacing w:line="480" w:lineRule="auto"/>
        <w:jc w:val="both"/>
        <w:rPr>
          <w:rFonts w:ascii="Times New Roman" w:eastAsia="Times New Roman" w:hAnsi="Times New Roman" w:cs="Times New Roman"/>
        </w:rPr>
      </w:pPr>
    </w:p>
    <w:p w14:paraId="1954E38B" w14:textId="77777777" w:rsidR="00221BA9" w:rsidRPr="00CE50D8" w:rsidRDefault="00221BA9">
      <w:pPr>
        <w:spacing w:line="480" w:lineRule="auto"/>
        <w:jc w:val="both"/>
        <w:rPr>
          <w:rFonts w:ascii="Times New Roman" w:eastAsia="Times New Roman" w:hAnsi="Times New Roman" w:cs="Times New Roman"/>
        </w:rPr>
      </w:pPr>
    </w:p>
    <w:p w14:paraId="68AA18BF" w14:textId="77777777" w:rsidR="00221BA9" w:rsidRPr="00CE50D8" w:rsidRDefault="00221BA9">
      <w:pPr>
        <w:spacing w:line="480" w:lineRule="auto"/>
        <w:jc w:val="both"/>
        <w:rPr>
          <w:rFonts w:ascii="Times New Roman" w:eastAsia="Times New Roman" w:hAnsi="Times New Roman" w:cs="Times New Roman"/>
        </w:rPr>
      </w:pPr>
    </w:p>
    <w:p w14:paraId="60843BA4" w14:textId="2E67F6E3" w:rsidR="00221BA9" w:rsidRPr="00CE50D8" w:rsidRDefault="00221BA9">
      <w:pPr>
        <w:spacing w:line="480" w:lineRule="auto"/>
        <w:jc w:val="both"/>
        <w:rPr>
          <w:rFonts w:ascii="Times New Roman" w:eastAsia="Times New Roman" w:hAnsi="Times New Roman" w:cs="Times New Roman"/>
        </w:rPr>
      </w:pPr>
    </w:p>
    <w:p w14:paraId="65773A34" w14:textId="2A00D1A1" w:rsidR="00761191" w:rsidRPr="00CE50D8" w:rsidRDefault="00761191">
      <w:pPr>
        <w:spacing w:line="480" w:lineRule="auto"/>
        <w:jc w:val="both"/>
        <w:rPr>
          <w:rFonts w:ascii="Times New Roman" w:eastAsia="Times New Roman" w:hAnsi="Times New Roman" w:cs="Times New Roman"/>
        </w:rPr>
      </w:pPr>
    </w:p>
    <w:p w14:paraId="7C76E72D" w14:textId="788F9371" w:rsidR="00761191" w:rsidRPr="00CE50D8" w:rsidRDefault="00761191">
      <w:pPr>
        <w:spacing w:line="480" w:lineRule="auto"/>
        <w:jc w:val="both"/>
        <w:rPr>
          <w:rFonts w:ascii="Times New Roman" w:eastAsia="Times New Roman" w:hAnsi="Times New Roman" w:cs="Times New Roman"/>
        </w:rPr>
      </w:pPr>
    </w:p>
    <w:p w14:paraId="37185E0C" w14:textId="77777777" w:rsidR="00761191" w:rsidRPr="00CE50D8" w:rsidRDefault="00761191">
      <w:pPr>
        <w:spacing w:line="480" w:lineRule="auto"/>
        <w:jc w:val="both"/>
        <w:rPr>
          <w:rFonts w:ascii="Times New Roman" w:eastAsia="Times New Roman" w:hAnsi="Times New Roman" w:cs="Times New Roman"/>
        </w:rPr>
      </w:pPr>
    </w:p>
    <w:p w14:paraId="4BF0DDC4" w14:textId="77777777" w:rsidR="00221BA9" w:rsidRPr="00CE50D8" w:rsidRDefault="00221BA9">
      <w:pPr>
        <w:spacing w:line="480" w:lineRule="auto"/>
        <w:jc w:val="both"/>
        <w:rPr>
          <w:rFonts w:ascii="Times New Roman" w:eastAsia="Times New Roman" w:hAnsi="Times New Roman" w:cs="Times New Roman"/>
        </w:rPr>
      </w:pPr>
    </w:p>
    <w:p w14:paraId="7BBB2768" w14:textId="77777777" w:rsidR="00761191" w:rsidRPr="00CE50D8" w:rsidRDefault="00761191">
      <w:pPr>
        <w:spacing w:line="480" w:lineRule="auto"/>
        <w:jc w:val="both"/>
        <w:rPr>
          <w:rFonts w:ascii="Times New Roman" w:eastAsia="Times New Roman" w:hAnsi="Times New Roman" w:cs="Times New Roman"/>
        </w:rPr>
      </w:pPr>
    </w:p>
    <w:p w14:paraId="63947DE5" w14:textId="77777777" w:rsidR="001F5194" w:rsidRPr="00CE50D8" w:rsidRDefault="001F5194">
      <w:pPr>
        <w:spacing w:line="480" w:lineRule="auto"/>
        <w:jc w:val="center"/>
        <w:rPr>
          <w:rFonts w:ascii="Times New Roman" w:eastAsia="Times New Roman" w:hAnsi="Times New Roman" w:cs="Times New Roman"/>
          <w:b/>
          <w:u w:val="single"/>
        </w:rPr>
      </w:pPr>
    </w:p>
    <w:p w14:paraId="0FCAB910" w14:textId="77777777" w:rsidR="001F5194" w:rsidRPr="00CE50D8" w:rsidRDefault="001F5194">
      <w:pPr>
        <w:spacing w:line="480" w:lineRule="auto"/>
        <w:jc w:val="center"/>
        <w:rPr>
          <w:rFonts w:ascii="Times New Roman" w:eastAsia="Times New Roman" w:hAnsi="Times New Roman" w:cs="Times New Roman"/>
          <w:b/>
          <w:u w:val="single"/>
        </w:rPr>
      </w:pPr>
    </w:p>
    <w:p w14:paraId="14750DEC" w14:textId="52AE9D05" w:rsidR="00221BA9" w:rsidRPr="00CE50D8" w:rsidRDefault="001A0A0E">
      <w:pPr>
        <w:spacing w:line="480" w:lineRule="auto"/>
        <w:jc w:val="center"/>
        <w:rPr>
          <w:rFonts w:ascii="Times New Roman" w:eastAsia="Times New Roman" w:hAnsi="Times New Roman" w:cs="Times New Roman"/>
          <w:b/>
          <w:u w:val="single"/>
        </w:rPr>
      </w:pPr>
      <w:r w:rsidRPr="00CE50D8">
        <w:rPr>
          <w:rFonts w:ascii="Times New Roman" w:eastAsia="Times New Roman" w:hAnsi="Times New Roman" w:cs="Times New Roman"/>
          <w:b/>
          <w:u w:val="single"/>
        </w:rPr>
        <w:lastRenderedPageBreak/>
        <w:t>TOC graphics</w:t>
      </w:r>
    </w:p>
    <w:p w14:paraId="0C87E4E0" w14:textId="77777777" w:rsidR="00A832DE" w:rsidRPr="00CE50D8" w:rsidRDefault="00A832DE">
      <w:pPr>
        <w:spacing w:line="480" w:lineRule="auto"/>
        <w:jc w:val="center"/>
        <w:rPr>
          <w:rFonts w:ascii="Times New Roman" w:eastAsia="Times New Roman" w:hAnsi="Times New Roman" w:cs="Times New Roman"/>
          <w:b/>
          <w:u w:val="single"/>
        </w:rPr>
      </w:pPr>
    </w:p>
    <w:p w14:paraId="69A3C56A" w14:textId="77777777" w:rsidR="00221BA9" w:rsidRPr="00761191" w:rsidRDefault="001A0A0E">
      <w:pPr>
        <w:spacing w:line="480" w:lineRule="auto"/>
        <w:jc w:val="center"/>
        <w:rPr>
          <w:rFonts w:ascii="Times New Roman" w:eastAsia="Times New Roman" w:hAnsi="Times New Roman" w:cs="Times New Roman"/>
          <w:b/>
          <w:u w:val="single"/>
        </w:rPr>
      </w:pPr>
      <w:r w:rsidRPr="00CE50D8">
        <w:rPr>
          <w:noProof/>
        </w:rPr>
        <w:drawing>
          <wp:inline distT="0" distB="0" distL="0" distR="0" wp14:anchorId="32C560BE" wp14:editId="591D2FF0">
            <wp:extent cx="5731510" cy="4225290"/>
            <wp:effectExtent l="0" t="0" r="0" b="0"/>
            <wp:docPr id="6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0"/>
                    <a:srcRect/>
                    <a:stretch>
                      <a:fillRect/>
                    </a:stretch>
                  </pic:blipFill>
                  <pic:spPr>
                    <a:xfrm>
                      <a:off x="0" y="0"/>
                      <a:ext cx="5731510" cy="4225290"/>
                    </a:xfrm>
                    <a:prstGeom prst="rect">
                      <a:avLst/>
                    </a:prstGeom>
                    <a:ln/>
                  </pic:spPr>
                </pic:pic>
              </a:graphicData>
            </a:graphic>
          </wp:inline>
        </w:drawing>
      </w:r>
    </w:p>
    <w:sectPr w:rsidR="00221BA9" w:rsidRPr="00761191">
      <w:footerReference w:type="default" r:id="rId4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5B1BF" w14:textId="77777777" w:rsidR="000C05C3" w:rsidRDefault="000C05C3" w:rsidP="00482883">
      <w:r>
        <w:separator/>
      </w:r>
    </w:p>
  </w:endnote>
  <w:endnote w:type="continuationSeparator" w:id="0">
    <w:p w14:paraId="7EA001C1" w14:textId="77777777" w:rsidR="000C05C3" w:rsidRDefault="000C05C3" w:rsidP="00482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B0604020202020204"/>
    <w:charset w:val="01"/>
    <w:family w:val="roman"/>
    <w:pitch w:val="variable"/>
  </w:font>
  <w:font w:name="Droid Sans Fallback">
    <w:altName w:val="Segoe UI"/>
    <w:panose1 w:val="020B0604020202020204"/>
    <w:charset w:val="01"/>
    <w:family w:val="auto"/>
    <w:pitch w:val="variable"/>
  </w:font>
  <w:font w:name="FreeSans">
    <w:altName w:val="Cambria"/>
    <w:panose1 w:val="020B0604020202020204"/>
    <w:charset w:val="01"/>
    <w:family w:val="auto"/>
    <w:pitch w:val="variable"/>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537572"/>
      <w:docPartObj>
        <w:docPartGallery w:val="Page Numbers (Bottom of Page)"/>
        <w:docPartUnique/>
      </w:docPartObj>
    </w:sdtPr>
    <w:sdtEndPr>
      <w:rPr>
        <w:noProof/>
      </w:rPr>
    </w:sdtEndPr>
    <w:sdtContent>
      <w:p w14:paraId="53301D95" w14:textId="2778698C" w:rsidR="008D4729" w:rsidRDefault="008D47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F28F29" w14:textId="77777777" w:rsidR="008D4729" w:rsidRDefault="008D47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C7F89" w14:textId="77777777" w:rsidR="000C05C3" w:rsidRDefault="000C05C3" w:rsidP="00482883">
      <w:r>
        <w:separator/>
      </w:r>
    </w:p>
  </w:footnote>
  <w:footnote w:type="continuationSeparator" w:id="0">
    <w:p w14:paraId="386239F2" w14:textId="77777777" w:rsidR="000C05C3" w:rsidRDefault="000C05C3" w:rsidP="004828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cwMTIyNLcwMDMztTBU0lEKTi0uzszPAykwqgUAQ7jDRiwAAAA="/>
  </w:docVars>
  <w:rsids>
    <w:rsidRoot w:val="00221BA9"/>
    <w:rsid w:val="00033931"/>
    <w:rsid w:val="00064E77"/>
    <w:rsid w:val="000C05C3"/>
    <w:rsid w:val="000D19C5"/>
    <w:rsid w:val="0010471E"/>
    <w:rsid w:val="00166224"/>
    <w:rsid w:val="001764AD"/>
    <w:rsid w:val="001A0A0E"/>
    <w:rsid w:val="001D17CE"/>
    <w:rsid w:val="001F5194"/>
    <w:rsid w:val="001F5B53"/>
    <w:rsid w:val="00213F34"/>
    <w:rsid w:val="00221BA9"/>
    <w:rsid w:val="00240B32"/>
    <w:rsid w:val="002B79D7"/>
    <w:rsid w:val="002E69B9"/>
    <w:rsid w:val="003145D2"/>
    <w:rsid w:val="003238F8"/>
    <w:rsid w:val="003351FF"/>
    <w:rsid w:val="00340934"/>
    <w:rsid w:val="0034139B"/>
    <w:rsid w:val="00352A7C"/>
    <w:rsid w:val="00380CD4"/>
    <w:rsid w:val="00393815"/>
    <w:rsid w:val="003A2761"/>
    <w:rsid w:val="003B4EF1"/>
    <w:rsid w:val="003C0C04"/>
    <w:rsid w:val="003C12E0"/>
    <w:rsid w:val="003E6B49"/>
    <w:rsid w:val="003F760F"/>
    <w:rsid w:val="0042474E"/>
    <w:rsid w:val="00454B3A"/>
    <w:rsid w:val="00467194"/>
    <w:rsid w:val="00481D03"/>
    <w:rsid w:val="00482883"/>
    <w:rsid w:val="00487743"/>
    <w:rsid w:val="004C47B2"/>
    <w:rsid w:val="004D409A"/>
    <w:rsid w:val="004F3604"/>
    <w:rsid w:val="00510333"/>
    <w:rsid w:val="00526EEF"/>
    <w:rsid w:val="005552C9"/>
    <w:rsid w:val="00557A55"/>
    <w:rsid w:val="00560AAD"/>
    <w:rsid w:val="005B600F"/>
    <w:rsid w:val="005C3327"/>
    <w:rsid w:val="0061683E"/>
    <w:rsid w:val="00655670"/>
    <w:rsid w:val="00671BC1"/>
    <w:rsid w:val="006B4B4E"/>
    <w:rsid w:val="006D4E77"/>
    <w:rsid w:val="00712BFA"/>
    <w:rsid w:val="0072103F"/>
    <w:rsid w:val="00744220"/>
    <w:rsid w:val="00761191"/>
    <w:rsid w:val="00774A83"/>
    <w:rsid w:val="00775AD3"/>
    <w:rsid w:val="00777512"/>
    <w:rsid w:val="00783ADA"/>
    <w:rsid w:val="00806A45"/>
    <w:rsid w:val="008531E3"/>
    <w:rsid w:val="00866F2B"/>
    <w:rsid w:val="00873B34"/>
    <w:rsid w:val="00876DE4"/>
    <w:rsid w:val="0088718F"/>
    <w:rsid w:val="00895566"/>
    <w:rsid w:val="008D4729"/>
    <w:rsid w:val="00931565"/>
    <w:rsid w:val="0096281C"/>
    <w:rsid w:val="00975D12"/>
    <w:rsid w:val="00982A22"/>
    <w:rsid w:val="009830A9"/>
    <w:rsid w:val="009C368A"/>
    <w:rsid w:val="00A20A09"/>
    <w:rsid w:val="00A3322C"/>
    <w:rsid w:val="00A3696E"/>
    <w:rsid w:val="00A832DE"/>
    <w:rsid w:val="00AA64AE"/>
    <w:rsid w:val="00AB39BB"/>
    <w:rsid w:val="00AB6573"/>
    <w:rsid w:val="00AC3D34"/>
    <w:rsid w:val="00AD4AEF"/>
    <w:rsid w:val="00AE26FB"/>
    <w:rsid w:val="00B53BAE"/>
    <w:rsid w:val="00B625A5"/>
    <w:rsid w:val="00B65240"/>
    <w:rsid w:val="00B94C08"/>
    <w:rsid w:val="00B953E7"/>
    <w:rsid w:val="00BB538E"/>
    <w:rsid w:val="00BE6529"/>
    <w:rsid w:val="00C419C9"/>
    <w:rsid w:val="00C9249B"/>
    <w:rsid w:val="00CA4347"/>
    <w:rsid w:val="00CB2C9D"/>
    <w:rsid w:val="00CB3026"/>
    <w:rsid w:val="00CE50D8"/>
    <w:rsid w:val="00D271E6"/>
    <w:rsid w:val="00D33850"/>
    <w:rsid w:val="00D3414D"/>
    <w:rsid w:val="00D7286C"/>
    <w:rsid w:val="00DC35DA"/>
    <w:rsid w:val="00DE0343"/>
    <w:rsid w:val="00DF4319"/>
    <w:rsid w:val="00F16D75"/>
    <w:rsid w:val="00F25794"/>
    <w:rsid w:val="00F63A53"/>
    <w:rsid w:val="00F846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783A8"/>
  <w15:docId w15:val="{F8FF098D-0EB6-4828-A0EE-1D862900E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 w:val="24"/>
        <w:szCs w:val="24"/>
        <w:lang w:val="de-DE" w:eastAsia="en-I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C96"/>
    <w:pPr>
      <w:suppressAutoHyphens/>
    </w:pPr>
    <w:rPr>
      <w:rFonts w:eastAsia="Droid Sans Fallback" w:cs="FreeSans"/>
      <w:kern w:val="1"/>
      <w:lang w:eastAsia="zh-CN" w:bidi="hi-I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MDPI12title">
    <w:name w:val="MDPI_1.2_title"/>
    <w:next w:val="MDPI13authornames"/>
    <w:qFormat/>
    <w:rsid w:val="00F84C96"/>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Normal"/>
    <w:qFormat/>
    <w:rsid w:val="00F84C96"/>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MDPI16affiliation">
    <w:name w:val="MDPI_1.6_affiliation"/>
    <w:qFormat/>
    <w:rsid w:val="00F84C96"/>
    <w:pPr>
      <w:adjustRightInd w:val="0"/>
      <w:snapToGrid w:val="0"/>
      <w:spacing w:line="260" w:lineRule="atLeast"/>
      <w:ind w:left="311" w:hanging="198"/>
    </w:pPr>
    <w:rPr>
      <w:rFonts w:ascii="Palatino Linotype" w:eastAsia="Times New Roman" w:hAnsi="Palatino Linotype" w:cs="Times New Roman"/>
      <w:color w:val="000000"/>
      <w:sz w:val="18"/>
      <w:szCs w:val="18"/>
      <w:lang w:val="en-US" w:eastAsia="de-DE" w:bidi="en-US"/>
    </w:rPr>
  </w:style>
  <w:style w:type="character" w:styleId="Hyperlink">
    <w:name w:val="Hyperlink"/>
    <w:rsid w:val="00F84C96"/>
    <w:rPr>
      <w:color w:val="000080"/>
      <w:u w:val="single"/>
    </w:rPr>
  </w:style>
  <w:style w:type="character" w:styleId="UnresolvedMention">
    <w:name w:val="Unresolved Mention"/>
    <w:basedOn w:val="DefaultParagraphFont"/>
    <w:uiPriority w:val="99"/>
    <w:semiHidden/>
    <w:unhideWhenUsed/>
    <w:rsid w:val="00F84C9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B625A5"/>
    <w:rPr>
      <w:rFonts w:ascii="Segoe UI" w:hAnsi="Segoe UI" w:cs="Mangal"/>
      <w:sz w:val="18"/>
      <w:szCs w:val="16"/>
    </w:rPr>
  </w:style>
  <w:style w:type="character" w:customStyle="1" w:styleId="BalloonTextChar">
    <w:name w:val="Balloon Text Char"/>
    <w:basedOn w:val="DefaultParagraphFont"/>
    <w:link w:val="BalloonText"/>
    <w:uiPriority w:val="99"/>
    <w:semiHidden/>
    <w:rsid w:val="00B625A5"/>
    <w:rPr>
      <w:rFonts w:ascii="Segoe UI" w:eastAsia="Droid Sans Fallback" w:hAnsi="Segoe UI" w:cs="Mangal"/>
      <w:kern w:val="1"/>
      <w:sz w:val="18"/>
      <w:szCs w:val="16"/>
      <w:lang w:eastAsia="zh-CN" w:bidi="hi-IN"/>
    </w:rPr>
  </w:style>
  <w:style w:type="table" w:styleId="TableGrid">
    <w:name w:val="Table Grid"/>
    <w:basedOn w:val="TableNormal"/>
    <w:uiPriority w:val="39"/>
    <w:rsid w:val="00A20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20A0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482883"/>
    <w:pPr>
      <w:tabs>
        <w:tab w:val="center" w:pos="4513"/>
        <w:tab w:val="right" w:pos="9026"/>
      </w:tabs>
    </w:pPr>
    <w:rPr>
      <w:rFonts w:cs="Mangal"/>
      <w:szCs w:val="21"/>
    </w:rPr>
  </w:style>
  <w:style w:type="character" w:customStyle="1" w:styleId="HeaderChar">
    <w:name w:val="Header Char"/>
    <w:basedOn w:val="DefaultParagraphFont"/>
    <w:link w:val="Header"/>
    <w:uiPriority w:val="99"/>
    <w:rsid w:val="00482883"/>
    <w:rPr>
      <w:rFonts w:eastAsia="Droid Sans Fallback" w:cs="Mangal"/>
      <w:kern w:val="1"/>
      <w:szCs w:val="21"/>
      <w:lang w:eastAsia="zh-CN" w:bidi="hi-IN"/>
    </w:rPr>
  </w:style>
  <w:style w:type="paragraph" w:styleId="Footer">
    <w:name w:val="footer"/>
    <w:basedOn w:val="Normal"/>
    <w:link w:val="FooterChar"/>
    <w:uiPriority w:val="99"/>
    <w:unhideWhenUsed/>
    <w:rsid w:val="00482883"/>
    <w:pPr>
      <w:tabs>
        <w:tab w:val="center" w:pos="4513"/>
        <w:tab w:val="right" w:pos="9026"/>
      </w:tabs>
    </w:pPr>
    <w:rPr>
      <w:rFonts w:cs="Mangal"/>
      <w:szCs w:val="21"/>
    </w:rPr>
  </w:style>
  <w:style w:type="character" w:customStyle="1" w:styleId="FooterChar">
    <w:name w:val="Footer Char"/>
    <w:basedOn w:val="DefaultParagraphFont"/>
    <w:link w:val="Footer"/>
    <w:uiPriority w:val="99"/>
    <w:rsid w:val="00482883"/>
    <w:rPr>
      <w:rFonts w:eastAsia="Droid Sans Fallback" w:cs="Mangal"/>
      <w:kern w:val="1"/>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910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emf"/><Relationship Id="rId26" Type="http://schemas.openxmlformats.org/officeDocument/2006/relationships/oleObject" Target="embeddings/oleObject4.bin"/><Relationship Id="rId39" Type="http://schemas.openxmlformats.org/officeDocument/2006/relationships/image" Target="media/image25.png"/><Relationship Id="rId21" Type="http://schemas.openxmlformats.org/officeDocument/2006/relationships/image" Target="media/image9.emf"/><Relationship Id="rId34" Type="http://schemas.openxmlformats.org/officeDocument/2006/relationships/image" Target="media/image21.png"/><Relationship Id="rId42" Type="http://schemas.openxmlformats.org/officeDocument/2006/relationships/fontTable" Target="fontTable.xml"/><Relationship Id="rId7" Type="http://schemas.openxmlformats.org/officeDocument/2006/relationships/hyperlink" Target="mailto:hperez@ucam.edu"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emf"/><Relationship Id="rId29" Type="http://schemas.openxmlformats.org/officeDocument/2006/relationships/image" Target="media/image16.e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image" Target="media/image12.png"/><Relationship Id="rId32" Type="http://schemas.openxmlformats.org/officeDocument/2006/relationships/image" Target="media/image19.emf"/><Relationship Id="rId37" Type="http://schemas.openxmlformats.org/officeDocument/2006/relationships/oleObject" Target="embeddings/oleObject5.bin"/><Relationship Id="rId40"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11.png"/><Relationship Id="rId28" Type="http://schemas.openxmlformats.org/officeDocument/2006/relationships/image" Target="media/image15.emf"/><Relationship Id="rId36" Type="http://schemas.openxmlformats.org/officeDocument/2006/relationships/image" Target="media/image23.emf"/><Relationship Id="rId10" Type="http://schemas.openxmlformats.org/officeDocument/2006/relationships/image" Target="media/image1.emf"/><Relationship Id="rId19" Type="http://schemas.openxmlformats.org/officeDocument/2006/relationships/image" Target="media/image7.emf"/><Relationship Id="rId31" Type="http://schemas.openxmlformats.org/officeDocument/2006/relationships/image" Target="media/image18.emf"/><Relationship Id="rId4" Type="http://schemas.openxmlformats.org/officeDocument/2006/relationships/webSettings" Target="webSettings.xml"/><Relationship Id="rId9" Type="http://schemas.openxmlformats.org/officeDocument/2006/relationships/hyperlink" Target="mailto:JoseManuelVillalgordo@eurofins.com" TargetMode="External"/><Relationship Id="rId14" Type="http://schemas.openxmlformats.org/officeDocument/2006/relationships/image" Target="media/image3.emf"/><Relationship Id="rId22" Type="http://schemas.openxmlformats.org/officeDocument/2006/relationships/image" Target="media/image10.emf"/><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image" Target="media/image22.png"/><Relationship Id="rId43" Type="http://schemas.openxmlformats.org/officeDocument/2006/relationships/theme" Target="theme/theme1.xml"/><Relationship Id="rId8" Type="http://schemas.openxmlformats.org/officeDocument/2006/relationships/hyperlink" Target="mailto:iorhan@gazi.edu.tr" TargetMode="External"/><Relationship Id="rId3"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5.emf"/><Relationship Id="rId25" Type="http://schemas.openxmlformats.org/officeDocument/2006/relationships/image" Target="media/image13.emf"/><Relationship Id="rId33" Type="http://schemas.openxmlformats.org/officeDocument/2006/relationships/image" Target="media/image20.emf"/><Relationship Id="rId38"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GmfrAYn5Zaxg7aV4UuGq1CoIUvw==">AMUW2mULG4O/kKcVYZmAjBkTr/4MNMbZBr24cSmI5Hz7G0Br6A2POqHWeBpwlkNummi80bAUEMRBn79uGE6RGfvnXCoyZ2nk8c+/2svH4v3k4fu4VQZWreUla+2Cf6mRbux6FkJdykoDm3XOhKtG422hHkRXXq+qF48f2zh9rHpx/5PWWF23LxGwg/9h3rJuHHDLGKfDEu5mIug/kGrwEIaq1vS7nySlVAjfTHgNJad4V0GoYSAhhR3XS3Li8Fx/IlfcSTlECnuu5Gx7j5Rng1+vr2OrAnodKxi3XS8rITBYnVNhyTMg9KKQF+fxWV6pta6IPZeShUJqf+khLf73Ek9MfWarxRT+qt41O5EWFkaxkHIhjJp5qeEIsEdc2FqXUKI1gCbgT9VpBUDLLKe3IHJPfoZBy27MdFGSkshhlX3PNOn+A7NhcoCmc4tdsJolbD7XnHpw/i9Ad/66VxOXVGgS/99/z1WzWmsT95BP9R6CQoU8DXjSnl6oE57HhFIPKXEdBt6uBuzVjGlyzxeN2VvlVcfO1zr3rMNGZjDVK61kkfI6q/xzCn6UUe2WnB6Tho4DQLdCf2dVcykqPZF0P9zBMgEj8KTUZRtCEwZ5tsuT1Zt8Pa2tIpxwFIxI7rF2/0E5qJLCBfVIwRaa6r4a3DVjIerMC3KEfi6kunFrtQaHu4zroRBIqycKNsBdMiAvrpANxn34GMclwfzmFlMgpB1+kSvXfQngUJgfeGyTsSpf66wVwizyZmIUH0EipYru2aRBawXe4wI208O7NZst3ly0/MkFNhSH+Lb6khQ6YZJdH7Sd5l4GOJM5Xf4hCGFGB28c8tm3H2JE6jsD9bWLQrlJ3NiGlqrZz7jC+r3OjUNOjqUU1GzEE9kL4iP38WrtO6EpFng78lAReQLU09GwCNLmfC62rdKbhl+u9bjT6qU8bOdEzU7QrRJ0dpJ074pwjhTxXE65glWz0fdWMW3E3G460yheugbO9VSek3LuEPiC3paKMEySxlsEiqblfjOrEkZlJKKMG28rzatyq9g4oNhEdQ5e+otwCiWhPMj3kkcH1lRbg4k7Uo+rJ7OrY/pJMJwfHTL0pvdTyB66O0slo6VgXoF+lG/gTqzDc0kwLwQzlBBCzuhQXfaz3bkGS0pHX61Y+4zxNu1v3lH0sYYD0wJQsWmdz1EqII5T1Btyt6DANoqgj1TerJIu1ox7WkM8SHV1lIHYDU/CJIF5hnZyk1r4m7unn9rp49N54GJ393P1SkCNOBFY+Es/xDEjdCh0rIayE1uJFS1MTzXwMs4MIpHd6yxNUyaJLfaiob+8N7r14d4Y1ctmDrpnwAu5N5cxScNVdWN7LlT1yNkY2sCQ7bZV3vw05826uZsCZRnuD/6KW28Vs7wyemfisz+cNG4Pw5rMYXLljC/mCkVDEJvB7JHg5eAGSGuGKsVj0bk10Y+tDGFffFahH4lYMnXCbAw++JGZcKjn+aX1NEyjkaoc2AGYr3tCeFwPyRUgPZHuuVgvMHsRgiBgfzfCMtFtuDTT1aC7j+ODRpTS8eKZmOhWHUZQQOhxdsOy2Ytiq3/e0fV2u5WDzA1QyUIi5eYTuUUXlGDbWtayQyjG7aK7o8P9ARcWe6R4MxnIvYYeWqLa2SscezJb82yfVMaacQyyMzT2LN68nb2O+LrwaKiXmAmNuXh5IpOzuQU9kWE2/8HrJa2sqdYfUaTWNMomp2u7a/KTLeQhisd3BGCzzbs4mWRp9BggnVp6Orm//mkBwVgbip7zQRRckFfxfdp40cJd2mBSS+0jAEIR+y+ohmE+ey8wbx5TAOwgZ6vzTUFBSHeArT19iEnADDLUcm/QjUIhoFkem3cbiMvdjRBvS45JVfZMl0SlC/ebZAjA35xLreNK76VoILs63Qv7ToRkgYKvRrASxQ+Z0BlChGT9l6h4EsHIoud+mKyJe53IqEpI5rcv70UtEccOpGNiQ7uJ4R6/aicw0sbc5itn3n14Spw8TIX16GsuZpK1hP+4W+NdXD/P+Ux9AD47MSmJldcqNjNFYEIMiyqwJwce0JOpRXzcZHpizqu5Imwtpnx5Fn967B7TatIU5AdgpXr09aEJQLhZO3wDm7F/uTrg3NfV8zfWBGO7acDZBc43Bx7fYNfh7hcN7jJlM0lA7cwGvdmbG00Ns6KFIIrDzfLGr+rpZHOOyE/+jg029iZ6KeIB7QIzVQpCbudz7Lf2lyboNPJiu2/+V4tdw+lOF6Ovq8MkY7mN5k/zNURRazaNLw8RtvH5YiDG87tAQNJYbsFAotBj0Rxq0qd4kxQNdqC3TfTP/PbU/5WMwpT/I/E17u+JWiiFKu723oumU9Yw63cfw4da8xFB3MVQ1RJWfkkIYtL912it53byaiilJt+V0GIKTmkfRnc7gj/JAxkYmaqRnCTfQgvkAwiekrVJFrYoTGDeNpiGPhJKkGuNrXyAQzDJhLefe6VWmpI3jbc/KQMpYazRLZy+c6hU1rGtnMgESUnGEYpJFojmKErXkCe44WdZZQmnhpZye7gATlYAKUt1janUnx+pOoBQeMGEkExIkzLcSbpEcHwESqZqJLsU47Mho+mcWGAtuoytTSxp2UgdAGMPqusvldPErMTQZzWSp0kmbEgQ6t0TdyKhztcQ9POe+C1Bvi8tYJb/rCtg2yLUWwlREypZ5FPdkH2f6ap5WJhyNC479RAla7FgrHJTEASlbaB2TR0qTzeApldXknC0Ty5hCG2hn6M6k5T31pYLAzX0r+DZ0BOfJVuL/E73oBIdjEgDNBiYaLXKwkbWJ5tUoW0zfLDotGQyCL47Q5Rc3OZoT3dGCmOvq7sDAL+BHXpGfAVvrzgz6a3bWHqZkPPG0VkxmlqgJdgQu1RfYe//4/jeXfPFG8EA/T3oS5oE7Fm73OcSXVj85TRRT2WGiqkY2ZkK5Z4wc6jAmnNRTOxcw7QwGrzcC37TnOuOFyuxRHPCCsWXvKmTcZ5esZ/UetQVXnWZyNVrDKtuljDsFnVYJ/3o02vZ0nYGdZg8Ww050HglGSmkVs6SEWOEJW9SlYbhI4nY8d8NxpWxt3AJqboj9l+OWVZLMQpaJmOKGvYtLMYvdzYzo4YN+bF6l88HmiyIPVEGSUi3D8iAPUjRkd0jSD82tKIPdNWZW/SDtuacYKwDC0w8UgetQlqJ1SGR2xxQPCnbB1eO0Os2PdrMMHEc2K8ZizQmisIsJjXGrw/ZksvviiHGeUwnvTxrVFicTlmu1l54csZnq6mkXHfQl4RgUPfsWh8r4hYZiq/YGJWOsaaLw3pPcbe1WhnbnMbYL5NIxgSj0Jb6kkRPVfWYRoyWSablP6OwAvE4HGX2+yh2LI5hkfeMKSx3TXDJmdlt4CBFj9y63E+S8RQaursA4FtjVGg+vL39qUTqIUboytKwj7HwMrROmyxuRZzrTT0mzDwER4eN8U5+aEeJ1dRXWYX0RQMfVqvEZWm0UZZG5C3sVAUX9OVsmLRZmGpOvyVPPTHB/xR0JMjT38lpwkHkBYlSIcjDrw6nr9+lCE73OAPKV4kmMhCpg6Ch2nFh5ZpsFy5FdG1QTFeZLNIof+9VK0hplhm5KSnhcblfOGSDLjvtBq4tzD1vugDJJy7zpDEaV5mp6LuKuSGpuEIEIhYcm9cKy4XhxDBS2jWSCjzqE7CGeK0+1OfYO7VUqAuDD7HwNmPr2Tzda8MLl/4gu5YSgbU24HPMi63fUYf/idcNC6pxLuTGtEicAvgrbu3Ll7KqrKnLV5lTaFa1m+mxzGQfcuOdCtPHaLsTgOecBr3GrNiLE0m40v+QiwHIPKOPOUb1sWPs9xZxl56kjc0NBBDbI0oTASkEWPbKOvdFBk/OLO3QvZ3KOCJSMXIjNPiZnjyd7rzCCAehDqbipZtwlpCeThRVfKxIKithSSekKucqcKy+e2dVjMxgfLLqYHJMB0odEjqfOZBCol9k7EZiMtoPwvW/iAmLFnlqZliDuGXmFECoR3uDrZg7TgKqForKXPkDNZ6m6pw4uFeZVaGbYKEtZWQFp9tTWgtvHYKY0JyhWEk+ClyKb4PHl5KQFXBaQJBBwU4YzE6I4qCczKncNBv8cBX6FZlH+yMYuEbD+lmB+8TIiPyk5HGAOiCe2vH5ahWQFgaJ5D0wrAnbz0Y1H1EAJ1ydip0c2tKbv3zR2l3GFoctEadoL9jSd0jDKF9ByiIyunnZnQA9dAUTOPxniFIbzkCvQLj1qVzzrbWoWgH7jeMIplWqqIsN9IncQl6JvezcqXCnCVdaWOxNM08XqDT8+aOSMMqBTX5uWPkbf0pXWikh4ZpAI8TithCx6f3aTvAGxBqDR7rjfb0JSjylPS+ClyF7d78MOZ0ydPawwoVq9Ol5KBgwNMBbxnnRbIkz28dsvg5WVxLZXqzQa2SlR+TX4CKuxhE0wIkWzmLeoSpZvhUSyxyQKxhKgE+HtKzZ9Q0M0pgDQ77+dVRDJVH/N82ckKkQoEIcq8tHlZHDG/WMDqFJR3ZaMWj9ZoOrTy84sIzWXy9fOUeDc+9zW3EcBEptfYMEUhS+Es+ig+30NCW+pvIcA4MA6XAkGk1oYcCV4UJZ4XCTffH6V+1k8Muj1GGTfigHtkGmeG7bPxrGzbCGcTEbrukHHjVrINQDMI3/S4dYfkEP02FZqUkLkS96tQgwBxYUhsgAy0s8nzVKetbnUkZy3azxFSR227ufLco0dJmXUT2xmcndUN25WrolHcvt4N8kllv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888</TotalTime>
  <Pages>35</Pages>
  <Words>8066</Words>
  <Characters>46222</Characters>
  <Application>Microsoft Office Word</Application>
  <DocSecurity>0</DocSecurity>
  <Lines>1100</Lines>
  <Paragraphs>590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Sandipan</dc:creator>
  <cp:lastModifiedBy>Horacio Emilio Pérez Sánchez</cp:lastModifiedBy>
  <cp:revision>51</cp:revision>
  <dcterms:created xsi:type="dcterms:W3CDTF">2020-10-22T12:20:00Z</dcterms:created>
  <dcterms:modified xsi:type="dcterms:W3CDTF">2026-02-23T15:33:00Z</dcterms:modified>
</cp:coreProperties>
</file>